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38 vom 21. Januar 2014</w:t>
      </w:r>
    </w:p>
    <w:p>
      <w:r>
        <w:t>VD Tribunal cantonal, 2014-01-21, FR</w:t>
      </w:r>
    </w:p>
    <w:p>
      <w:r>
        <w:rPr>
          <w:b/>
        </w:rPr>
        <w:t xml:space="preserve">Quelle: </w:t>
      </w:r>
      <w:r>
        <w:t>https://mcp.opencaselaw.ch/entscheid/vd_findinfo_HC___2014___38</w:t>
      </w:r>
    </w:p>
    <w:p>
      <w:r>
        <w:t>FR: VD_FINDINFO HC / 2014 / 38 du 21 janvier 2014</w:t>
      </w:r>
    </w:p>
    <w:p>
      <w:r>
        <w:t>IT: VD_FINDINFO HC / 2014 / 38 del 21 gennaio 2014</w:t>
      </w:r>
    </w:p>
    <w:p>
      <w:pPr>
        <w:pStyle w:val="Heading2"/>
      </w:pPr>
      <w:r>
        <w:t>Regeste</w:t>
      </w:r>
    </w:p>
    <w:p>
      <w:r>
        <w:t>EXPULSION DE LOCATAIRE, SOUS-LOCATAIRE, EXÉCUTION FORCÉE | 337 al. 1 CPC (CH)</w:t>
      </w:r>
    </w:p>
    <w:p>
      <w:pPr>
        <w:pStyle w:val="Heading2"/>
      </w:pPr>
      <w:r>
        <w:t>Erwägungen</w:t>
      </w:r>
    </w:p>
    <w:p>
      <w:r>
        <w:rPr>
          <w:b/>
        </w:rPr>
        <w:t>E. 1</w:t>
      </w:r>
    </w:p>
    <w:p>
      <w:r>
        <w:t>L’appel est irrecevable contre les décisions du tribunal de l’exécution (art. 309 let. a CPC), qui peuvent donc faire l’objet d’un recours (art. 319 let. a CPC). Les mesures d’exécution étant rendues en procédure sommaire (art. 339 al. 2 CPC), le recours doit être formé dans les dix jours à compter de la notification de la décision motivée ou de la notification postérieure de la motivation (art. 321 al. 2 CPC). Le recours est de la compétence de la Chambre des recours civile (art. 73 al. 1 LOJV [loi vaudoise d'organisation judiciaire du 12 décembre 1979 ; RSV 173.01]) dans une composition à trois juges (JT 2011 III 44). En l’espèce, déposé en temps utile par une partie qui y a intérêt (art. 59 al. 2 let. a CPC), à savoir par une sous-locataire expulsée de son logement, le recours est recevable en la forme.</w:t>
      </w:r>
    </w:p>
    <w:p>
      <w:r>
        <w:rPr>
          <w:b/>
        </w:rPr>
        <w:t>E. 2</w:t>
      </w:r>
    </w:p>
    <w:p>
      <w:r>
        <w:t>Le recours est recevable pour violation du droit et constatation manifestement inexacte des faits (art. 320 CPC). L'autorité de recours dispose d'un plein pouvoir d'examen s’agissant de la violation du droit (Spühler,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(Corboz et alii, Commentaire de la LTF, Berne 2009, n. 19, p. 941 ad art. 97).</w:t>
      </w:r>
    </w:p>
    <w:p>
      <w:r>
        <w:rPr>
          <w:b/>
        </w:rPr>
        <w:t>E. 3</w:t>
      </w:r>
    </w:p>
    <w:p>
      <w:r>
        <w:t>a) La recourante s’oppose à l’évacuation forcée de l’appartement qu’elle occupe. Elle ne fait pas valoir, comme cela est généralement le cas dans ce genre de cause, qu’elle est au bénéfice d’un contrat de sous-location qui serait toujours en vigueur, dès lors qu’il n’a fait l’objet d’aucune résiliation valable. Elle invoque des motifs humanitaires, à savoir qu’elle est enceinte et n’est pas en mesure de trouver une solution de relogement rapidement. b) Le contrat de sous-location n'entraîne pas de relations contractuelles directes entre le bailleur principal et le sous-locataire (CREC I du 6 avril 2006/218 ; ATF 120 II 112, JT 1995 I 202 c. 3 ; Lachat, Commentaire romand, Code des obligations I, 2 e éd., Bâle 2012, n. 7 ad art. 262 CO). Le contrat de sous-location, même s'il n'a pas été résilié, ne peut pas perdurer au-delà du bail principal. Lorsque ce dernier est résilié, le sous-locataire ne peut pas demeurer sur place, même si le locataire a négligé de le congédier ou que le congé est nul quant à sa forme. Le bailleur dispose alors du droit d'expulser le locataire qui sous-loue et/ou le sous-locataire. Comme il n'y a pas de rapport d'obligation entre le bailleur principal et le sous-locataire, le droit d'expulser se fonde sur le droit de propriété (art. 641 CC) ou sur l'obligation de restituer la chose (art. 262 al. 3 CO). Le sous-locataire peut prétendre à des dommages intérêts de la part du locataire (sous-bailleur) (Burkhalter/Martinez-Favre, Le droit suisse du bail à loyer – Commentaire, Zurich 2011, n. 7 ad art. 273b CO ; Lachat, op. cit., nn. 1 ss ad art. 273b CO ; ATF 139 III 353 c. 2.1.2 ; CREC 19 juillet 2013/245). c) En l’espèce, la sous-location ne créant pas de rapport d’obligation entre le bailleur principal et la sous-locataire, celle-ci n’avait pas à être partie à la procédure. L’ordonnance d’expulsion rendue le 11 novembre 2013 constitue ainsi un jugement exécutoire au sens de l’art. 336 CPC, dont l’exécution peut avoir lieu directement selon l’art. 337 al. 1 CPC et contraint la sous-locataire et recourante à libérer les locaux puisque le contrat de sous-location, même s’il n’a pas été résilié, ne peut pas perdurer au-delà du bail principal. En concluant à l’annulation de la décision d’évacuation forcée, subsidiairement à son report dans le temps, et donc implicitement à la poursuite du contrat de sous-location pour une durée indéterminée, respectivement pour une durée déterminée, la recourante impose une relation contractuelle qu’elle n’a pas avec le bailleur principal. Son moyen est mal fondé.</w:t>
      </w:r>
    </w:p>
    <w:p>
      <w:r>
        <w:rPr>
          <w:b/>
        </w:rPr>
        <w:t>E. 4</w:t>
      </w:r>
    </w:p>
    <w:p>
      <w:r>
        <w:t>Il s'ensuit que le recours, manifestement infondé, doit être rejeté dans la procédure de l’art. 322 al. 1 CPC et la décision d’exécution forcée confirmée. Les frais judiciaires de deuxième instance, arrêtés à 200 fr. (art. 69 al. 1 TFJC [tarif des frais judiciaires en matière civile du 28 septembre 2010 ; RSV 270.11.5]), sont mis à la charge de la recourante, qui succombe (art. 106 al. 1 CPC). Il n’y a pas lieu à l’allocation de dépens, dès lors que l’intimé n’a pas été invité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200 fr. (deux cents francs), sont mis à la charge de la recourante B.________. IV. L'arrêt motivé est exécutoire. Le président :               La greffière : Du 22 janvier 2014 Le dispositif de l'arrêt qui précède est communiqué par écrit aux intéressés. La greffière : Du L'arrêt qui précède, dont la rédaction a été approuvée à huis clos, est notifié en expédition complète, par l'envoi de photocopies, à : ‑ B.________ ‑ M. Christophe Savoy, aab (pour H.________) ‑ M.________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la Broye-Vully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