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378 vom 28. März 2014</w:t>
      </w:r>
    </w:p>
    <w:p>
      <w:r>
        <w:t>VD Tribunal cantonal, 2014-03-28, FR</w:t>
      </w:r>
    </w:p>
    <w:p>
      <w:r>
        <w:rPr>
          <w:b/>
        </w:rPr>
        <w:t xml:space="preserve">Quelle: </w:t>
      </w:r>
      <w:r>
        <w:t>https://mcp.opencaselaw.ch/entscheid/vd_findinfo_HC___2014___378</w:t>
      </w:r>
    </w:p>
    <w:p>
      <w:r>
        <w:t>FR: VD_FINDINFO HC / 2014 / 378 du 28 mars 2014</w:t>
      </w:r>
    </w:p>
    <w:p>
      <w:r>
        <w:t>IT: VD_FINDINFO HC / 2014 / 378 del 28 marzo 2014</w:t>
      </w:r>
    </w:p>
    <w:p>
      <w:pPr>
        <w:pStyle w:val="Heading2"/>
      </w:pPr>
      <w:r>
        <w:t>Regeste</w:t>
      </w:r>
    </w:p>
    <w:p>
      <w:r>
        <w:t>AGENT D'AFFAIRES, HONORAIRES, MODÉRATION | 7 al. 2 LPAg, 7 LPAg, 9 al. 3 LPAg, 9 LPAg, 95 LPA-VD, 98 LPA-VD</w:t>
      </w:r>
    </w:p>
    <w:p>
      <w:pPr>
        <w:pStyle w:val="Heading2"/>
      </w:pPr>
      <w:r>
        <w:t>Erwägungen</w:t>
      </w:r>
    </w:p>
    <w:p>
      <w:r>
        <w:rPr>
          <w:b/>
        </w:rPr>
        <w:t>E. 1</w:t>
      </w:r>
    </w:p>
    <w:p>
      <w:r>
        <w:t>ROTC [règlement organique du Tribunal cantonal du 13 novembre 2007, RSV 173.31.1]). La loi sur la procédure administrative du 28 octobre 2008 (LPA-VD, RSV 173.36) est applicable (art. 9 al. 3 in fine LPAg). Selon l’art. 95 LPA-VD, le recours au Tribunal cantonal s’exerce dans les trente jours dès la notification de la décision ou du jugement attaqué. Interjeté en temps utile, le recours de B.S.________ est recevable. S'agissant du recours formé par A.S.________, on relèvera ce qui suit : la procédure de modération de note d'honoraires ouverte par N.________ l'a été à l'encontre de ses deux mandants, savoir B.S.________ et A.S.________. Le premier juge a toutefois, de manière erronée, omis de notifier sa décision du 6 février 2014 à A.S.________. Ainsi, celle-ci possède la qualité pour recourir et son recours, formé en temps utile, est recevable.</w:t>
      </w:r>
    </w:p>
    <w:p>
      <w:r>
        <w:rPr>
          <w:b/>
        </w:rPr>
        <w:t>E. 2</w:t>
      </w:r>
    </w:p>
    <w:p>
      <w:r>
        <w:t>Aucune disposition de la LPAg ne précise le pouvoir d'examen de la Chambre des recours civile. Dans un souci d'harmonisation avec la procédure de modération concernant les avocats, la Cour de céans considère que la LPA-VD régit son pouvoir d'examen également pour la procédure de modération des agents d'affaires brevetés. Le recours permet ainsi d'invoquer la violation du droit, y compris l'excès ou l'abus du pouvoir d'appréciation, ainsi que la constatation inexacte ou incomplète des faits pertinents (art. 98 LPA-VD; CREC 12 octobre 2011/181 c. 2 ; CREC 6 octobre 2011/180 c. 2 ; CREC Il 20 juillet 2009/145 c. 2).</w:t>
      </w:r>
    </w:p>
    <w:p>
      <w:r>
        <w:rPr>
          <w:b/>
        </w:rPr>
        <w:t>E. 3</w:t>
      </w:r>
    </w:p>
    <w:p>
      <w:r>
        <w:t>a) Les recourants se plaignent tout d'abord de ce que la note d'honoraires du 10 décembre 2012 n'indique pas "le détail du montant des honoraires de fr. 3000.00". Ils font grief à l'intimé de n'avoir pas détaillé les heures consacrées à l'accomplissement de son mandat. b) aa) Aux termes de l'art. 7 LPAg, le Tribunal cantonal établit les principes applicables en matière d'honoraires dus à titre de dépens et en arrête le tarif (al. 1); dans les autres cas, les honoraires de l'agent d'affaires breveté sont fixés par analogie avec le tarif en tenant compte notamment de l'usage, de l'importance et de la difficulté de l'affaire et du résultat obtenu (al. 2). Selon l’art. 3 al. 2 TDC (tarif des dépens en matière civile du 23 novembre 2010, RSV 270.11.6), auquel renvoie l’art. 7 al. 1 LPAg, dans les contestations portant sur des affaires patrimoniales, le défraiement est fixé, selon le type de procédure et dans les limites des tableaux figurant aux art. 4 à 8 et 10 à 13 TDC, en considération de l'importance de la cause, de ses difficultés, de l'ampleur du travail et du temps consacré par l'avocat ou l'agent d'affaires breveté. A cet égard, le juge apprécie l'étendue des opérations nécessaires pour la conduite du procès et se fonde, en règle générale, sur le tarif horaire moyen usuellement admis, réduit de 15% dans les causes dont la valeur litigieuse ne dépasse pas 30'000 francs et augmenté de manière adéquate dans les causes dont la valeur litigieuse est supérieure à 300'000 francs. Pour une procédure judiciaire de première instance dont la valeur litigieuse se situe entre 30'001 fr. et 100'000 fr., la rémunération de l’agent d’affaires breveté se situe entre 1'500 fr. et 7'500 fr. en procédure simplifiée (art. 10 al. 1 TDC), et entre 1'125 fr. et 4'500 fr. en procédure sommaire (art. 11 al. 1 TDC). La jurisprudence applique les critères définis en matière d'honoraires d'avocat et prend également en considération la situation financière du client, l'importance du capital litigieux, le coût de la vie, les frais généraux de l'agent d'affaires et l'expérience de celui-ci. En règle générale, les honoraires s'évaluent de façon globale, mais le juge modérateur est libre de recourir à la modération détaillée, d'office ou sur réquisition, s'il l'estime opportun vu les circonstances de l'espèce (Jomini, Les honoraires et débours de l'avocat vaudois et leur modération, in JT 1982 III 2, n. 10, p. 5). Le magistrat modérateur, dont la tâche est d'arrêter le montant des honoraires, n'a pas à trancher des questions de fond relatives, par exemple, à la manière dont l'agent d'affaires a exécuté son mandat. L'examen d'une éventuelle violation des obligations découlant du mandat de l'agent d'affaires relève en principe du seul juge civil ordinaire et le magistrat modérateur doit se borner à taxer les opérations portées en compte au regard des prestations effectivement fournies par l'agent d'affaires (CMOD 24 novembre 2000/17; JT 1990 III 66; Jomini, op. cit., n. 6, p. 4 et les références citées). Il peut toutefois éliminer les opérations inutiles faites par l'agent d'affaires, par exemple lorsqu'il enfle à tort le travail effectivement nécessaire (Jomini, op. cit., n. 11, p. 6). bb) S'agissant des avocats, la doctrine et la jurisprudence fédérale récente déduisent de l'art. 48 LPAv (loi sur la profession d'avocat du 24 septembre 2002, RSV 177.11) et de l'art. 400 al. CO (Code des obligations du 30 mars 1911, RS 220) l’obligation pour l’avocat, sous peine de subir des sanctions disciplinaires, de fournir, si le client le demande, une note d’honoraires détaillant chaque activité et le temps qui lui a été consacré (TF 2A_18/2004 du 13 août 2004 c. 7.2.1 et 7.2.3; Bohnet/Martenet, Droit de la profession d'avocat, 2009, n. 1785, pp. 733-734 et n. 2836, p. 1126; Fellmann, Kommentar zum Anwaltgesetz, Fellmann/Zindel Hrsg, 2005, n. 172 ad art. 12 LLCA, pp. 200-201). Lorsque les honoraires du mandataire, notamment de l’avocat, sont calculés sur la base d’un tarif horaire, celui-ci supporte le fardeau de la preuve pour le temps consacré à l’exécution du mandat (Fellmann, Berner Kommentar, 1992, n. 424 et 440 ad art. 394 CO, pp. 190 et 193). Dans le cas de l'agent d'affaires breveté, l'art. 8 al. 1 LPAg ne fait pas obligation à ce mandataire de produire spontanément le détail de ses opérations et la liste des débours. En effet, l'agent d'affaires breveté est tenu de fournir à son client la note de ses honoraires et débours, ainsi que la liste de ses encaissements. C'est uniquement si le client le demande que la liste contiendra le détail des opérations et la liste des débours; le montant des honoraires pourra y figurer globalement. Le détail des opérations, avec la liste des débours et encaissements, est porté au grand livre, au chapitre du client (art. 8 al. 2 LPAg). c) En l'espèce, l'agent d'affaires breveté N.________ s'est conformé aux exigences de la loi régissant sa profession. La note établie le 10 décembre 2012 était en effet conforme aux exigences de l'art. 8 al. 1 LPAg puisqu'elle comprenait le montant de ses honoraires et de ses débours, ainsi que la liste de ses encaissements. Il n'est pas établi que les recourants auraient à l'époque demandé le détail des opérations à leur mandataire. Quoi qu'il en soit, même si cela avait été le cas, l'art. 8 al. 1 2 e phrase LPAg ne fait pas obligation au mandataire de fournir un relevé détaillé du coût chacune de ses opérations. Il lui impose seulement de détailler ses opérations et de fournir une liste de débours, tout en admettant que le montant des honoraires puisse y figurer globalement. En l'espèce, l'intimé a fourni à ses mandants, en date du 17 décembre 2012, une liste détaillée de ses opérations et de ses débours avec le montant global de ses honoraires. Cette liste remplit les conditions posées à l'art. 8 al. 1 2 e phrase LPAg, même si elle ne mentionne pas le temps affecté par le mandataire à chacune des opérations. Enfin, les recourants n'ont pas jugé utile de se déterminer sur la requête de modération de la note d'honoraires déposée par l'intimé, bien qu'ils aient été invités à le faire par le premier juge. Il s'ensuit que l'on ne peut pas faire grief à ce magistrat de s'être contenté des pièces produites par N.________ pour statuer. Ce moyen des recourants, mal fondé, doit être rejeté.</w:t>
      </w:r>
    </w:p>
    <w:p>
      <w:r>
        <w:rPr>
          <w:b/>
        </w:rPr>
        <w:t>E. 4</w:t>
      </w:r>
    </w:p>
    <w:p>
      <w:r>
        <w:t>a) Les recourants prétendent encore que le versement d'une provision de 1'620 fr. impliquait qu'à défaut de demande de provision complémentaire, le montant des honoraires de l'intimé ne pouvait dépasser ce moment. b) La LPAg n'établit aucun lien entre la provision et le montant des honoraires. L'art. 7 al. 2 LPAg prévoit uniquement que les honoraires sont fixés en tenant compte notamment de l'usage, de l'importance et de la difficulté de l'affaire et du résultat obtenu. En revanche, il y a lieu de se référer à la jurisprudence rendue en matière d'honoraires d'avocat, selon laquelle celui qui n'exige pas une provision suffisante pour se couvrir ou, à défaut, n'indique pas à son client le montant approximatif des frais encourus pour les opérations qu'il entreprend, commet une faute justifiant une réduction des honoraires normalement dus, dans la mesure où le client est ignorant des lois et incapable de se représenter lui-même la valeur du travail intellectuel du mandataire (CREC II 19 janvier 2010/18 c. 5; JT 2006 III 39 et les réf. citées). Une réduction d'un tiers a été admise des honoraires facturés par un avocat qui s'était provisionné seulement à hauteur de 3'000 fr. alors que sa note d'honoraires totalisait 10'300 fr. (CREC II du 16 juin 1998/109) ou encore quelque 15'000 fr. (CREC II du 29 novembre 2010/243 c. 5 cc). Cette analogie est justifiée dans la mesure où l'art. 50 al 1 LPAg prévoit que les agents d'affaires brevetés sont tenus, pendant le cours des affaires dont ils sont chargés, d'en rendre compte à leurs mandants. c) En l'espèce, l'intimé a finalement réclamé des honoraires qui correspondaient à près du double de la provision qu'il avait reçue, ce alors même que les recourants n'étaient pas rompus aux affaires et que le résultat obtenu devait être relativisé s'agissant du rejet d'une requête de mainlevée provisoire, après que l'intimé eut invoqué l'incapacité de discernement de la fille des recourants, comme ceux-ci le lui avaient demandé. L'agent d'affaires n'a pas tenu au courant ses mandants s'agissant du montant des frais approximatifs encourus, ce qui est contraire à l'obligation d'information prévue à l'art. 50 al. 1 LPAg. Ainsi, une réduction de ses honoraires à hauteur d'un quart se justifie. Une réduction d'un quart conduit à fixer les honoraires de l'intimé à 2'250 fr. (3'000 x ¾), débours par 150 fr. et TVA en sus, soit un total de 2'592 fr., dont à déduire la provision payée, par 1'620 francs.</w:t>
      </w:r>
    </w:p>
    <w:p>
      <w:r>
        <w:rPr>
          <w:b/>
        </w:rPr>
        <w:t>E. 5</w:t>
      </w:r>
    </w:p>
    <w:p>
      <w:r>
        <w:t>a) Au final, le recours doit être partiellement admis et la décision réformée dans le sens qui précède. b) Les recourants concluaient à une réduction de la note d'honoraires de 1'782 fr. mais ils n'obtiennent qu'une réduction de 972 francs. Par conséquent, les frais judiciaires, tant de première que de seconde instance, seront partagés par moitié entre chacune des parties (art. 106 al. 2 CPC). Ainsi, les frais de première instance seront mis par 84 fr. à la charge de B.S.________ et A.S.________, solidairement entre eux, et par 84 fr. à la charge de N.________. Les recourants devront verser à l'intimé, solidairement entre eux, la somme de 84 fr. à titre de restitution d'avance de frais de première instance. A cet égard, le dispositif du présent arrêt mentionne à tort, sous chiffre II/IV, que N.________ devra restituer cette somme à B.S.________ et A.S.________. On corrigera donc d'office ce chiffre dans le sens précité conformément à l'art. 334 al. 1 CPC, qui prévoit que le dispositif d'une décision peut être rectifié d'office lorsqu'il est peu clair, contradictoire, incomplet ou qu'il ne correspond pas à la motivation. Le dispositif ci-dessous sera modifié en conséquence. Les frais judiciaires de deuxième instance, arrêtés à 100 fr. (art. 69 al. 1 et 70 al. 1 TFJC [tarif des frais judiciaires civils du 28 septembre 2010, RSV 270.11.5]), sont mis à la charge des recourants, solidairement entre eux, par 50 fr., et à la charge de l'intimé, par 50 francs. Celui-ci doit verser aux recourants, solidairement entre eux, la somme de 50 fr. à titre de restitution d'avance de frais de deuxième instance. c) Au vu de l'issue du litige, il n'y a pas lieu à l'allocation de dépens de deuxième instance, les parties n'ayant au surplus pas procédé par l'entremise d'un mandataire professionnel. Par ces motifs, la Chambre des recours civile du Tribunal cantonal, statuant à huis clos, prononce : I.              Le recours est partiellement admis. II. La décision est réformée comme il suit : I. arrête la note d’honoraires de N.________, agent d’affaires breveté, du 10 décembre 2012, à 2'592 fr. (deux mille cinq cent nonante-deux francs), dont à déduire la provision payée, par 1'620 fr. (mille six cent vingt francs) ; II. arrête les frais judiciaires à 168 fr. (cent soixante-huit francs) ; III. met les frais à la charge de B.S.________ et A.S.________, solidairement entre eux, par 84 fr. (huitante-quatre francs) et à la charge de N.________, par 84 fr. (huitante-quatre francs) ; IV. dit que B.S.________ et A.S.________, solidairement entre eux, doivent verser à N.________ la somme de 84 fr. (huitante-quatre francs) à titre de restitution d’avance de frais de première instance. III. Les frais judiciaires de deuxième instance, arrêtés à 100 fr. (cent francs), sont mis à la charge des recourants, solidairement entre eux, par 50 fr. (cinquante francs), et à la charge de l’intimé, par 50 fr. (cinquante francs). IV. N.________ doit verser à B.S.________ et A.S.________, solidairement entre eux, la somme de 50 fr. (cinquante francs) à titre de restitution d’avance de frais de deuxième instance. V. Il n’est pas alloué de dépens. VI. L’arrêt motivé est exécutoire. Le président :               La greffière : Du 1 er avril 2014 Le dispositif de l'arrêt qui précède est communiqué par écrit aux intéressés. La greffière : Du L'arrêt qui précède, dont la rédaction a été approuvée à huis clos, est notifié en expédition complète, par l'envoi de photocopies, à : ‑ M. B.S.________, - Mme A.S.________, ‑ M. N.________.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Lavaux-Oron.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