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376 vom 28. März 2014</w:t>
      </w:r>
    </w:p>
    <w:p>
      <w:r>
        <w:t>VD Tribunal cantonal, 2014-03-28, FR</w:t>
      </w:r>
    </w:p>
    <w:p>
      <w:r>
        <w:rPr>
          <w:b/>
        </w:rPr>
        <w:t xml:space="preserve">Quelle: </w:t>
      </w:r>
      <w:r>
        <w:t>https://mcp.opencaselaw.ch/entscheid/vd_findinfo_HC___2014___376</w:t>
      </w:r>
    </w:p>
    <w:p>
      <w:r>
        <w:t>FR: VD_FINDINFO HC / 2014 / 376 du 28 mars 2014</w:t>
      </w:r>
    </w:p>
    <w:p>
      <w:r>
        <w:t>IT: VD_FINDINFO HC / 2014 / 376 del 28 marzo 2014</w:t>
      </w:r>
    </w:p>
    <w:p>
      <w:pPr>
        <w:pStyle w:val="Heading2"/>
      </w:pPr>
      <w:r>
        <w:t>Regeste</w:t>
      </w:r>
    </w:p>
    <w:p>
      <w:r>
        <w:t>MODÉRATION, HONORAIRES, AGENT D'AFFAIRES | 7 al. 2 LPAg, 7 LPAg, 9 al. 3 LPAg, 9 LPAg, 95 LPA-VD, 98 LPA-VD</w:t>
      </w:r>
    </w:p>
    <w:p>
      <w:pPr>
        <w:pStyle w:val="Heading2"/>
      </w:pPr>
      <w:r>
        <w:t>Erwägungen</w:t>
      </w:r>
    </w:p>
    <w:p>
      <w:r>
        <w:rPr>
          <w:b/>
        </w:rPr>
        <w:t>E. 1</w:t>
      </w:r>
    </w:p>
    <w:p>
      <w:r>
        <w:t>ROTC [règlement organique du Tribunal cantonal du 13 novembre 2007, RSV 173.31.1]). La loi sur la procédure administrative du 28 octobre 2008 (LPA-VD, RSV 173.36) est applicable (art. 9 al. 3 in fine LPAg). Selon l’art. 95 LPA-VD, le recours au Tribunal cantonal s’exerce dans les trente jours dès la notification de la décision ou du jugement attaqué. Interjeté en temps utile, le recours de A.H.________ est recevable.</w:t>
      </w:r>
    </w:p>
    <w:p>
      <w:r>
        <w:rPr>
          <w:b/>
        </w:rPr>
        <w:t>E. 2</w:t>
      </w:r>
    </w:p>
    <w:p>
      <w:r>
        <w:t>Aucune disposition de la LPAg ne précise le pouvoir d'examen de la Chambre des recours civile. Dans un souci d'harmonisation avec la procédure de modération concernant les avocats, la Cour de céans considère que la LPA-VD régit son pouvoir d'examen également pour la procédure de modération des agents d'affaires brevetés. Le recours permet ainsi d'invoquer la violation du droit, y compris l'excès ou l'abus du pouvoir d'appréciation, ainsi que la constatation inexacte ou incomplète des faits pertinents (art. 98 LPA-VD; CREC 12 octobre 2011/181 c. 2 ; CREC 6 octobre 2011/180 c. 2 ; CREC Il 20 juillet 2009/145 c. 2).</w:t>
      </w:r>
    </w:p>
    <w:p>
      <w:r>
        <w:rPr>
          <w:b/>
        </w:rPr>
        <w:t>E. 3</w:t>
      </w:r>
    </w:p>
    <w:p>
      <w:r>
        <w:t>a) Le recourant se plaint en premier lieu de ce que la note d'honoraires du 10 décembre 2012 n'indique pas "le détail du temps consacré et le détail des honoraires pour chaque opération séparément". Il fait en outre valoir que l'intimé lui a fait croire qu'il disposait d'une reconnaissance de dette signée par V.________ et qu'il pouvait raisonnablement espérer encaisser le montant de 1'000 fr., ce qui na pas été le cas, l'intimé ayant au surplus commis plusieurs graves erreurs dans la façon dont il avait géré la procédure. b) aa) 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Selon l’art. 3 al. 2 TDC (tarif des dépens en matière civile du 23 novembre 2010, RSV 270.11.6), auquel renvoie l’art. 7 al. 1 LPAg, dans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francs et augmenté de manière adéquate dans les causes dont la valeur litigieuse est supérieure à 300'000 francs. Pour une procédure judiciaire de première instance dont la valeur litigieuse se situe entre 30'001 fr. et 100'000 fr., la rémunération de l’agent d’affaires breveté se situe entre 1'500 fr. et 7'500 fr. en procédure simplifiée (art. 10 al. 1 TDC), et entre 1'125 fr. et 4'500 fr. en procédure sommaire (art. 11 al. 1 TDC). La jurisprudence applique les critères définis en matière d'honoraires d'avocat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(CMOD 24 novembre 2000/17; JT 1990 III 66; Jomini, op. cit., n. 6, p. 4 et les références citées). Il peut toutefois éliminer les opérations inutiles faites par l'agent d'affaires, par exemple lorsqu'il enfle à tort le travail effectivement nécessaire (Jomini, op. cit., n. 11, p. 6). bb) S'agissant des avocats, la doctrine et la jurisprudence fédérale récente déduisent de l'art. 48 LPAv (loi sur la profession d'avocat du 24 septembre 2002, RSV 177.11) et de l'art. 400 al. CO (Code des obligations du 30 mars 1911, RS 220) l’obligation pour l’avocat, sous peine de subir des sanctions disciplinaires, de fournir, si le client le demande, une note d’honoraires détaillant chaque activité et le temps qui lui a été consacré (TF 2A_18/2004 du 13 août 2004 c. 7.2.1 et 7.2.3; Bohnet/Martenet, Droit de la profession d'avocat, 2009, n. 1785, pp. 733-734 et n. 2836, p. 1126; Fellmann, Kommentar zum Anwaltgesetz, Fellmann/Zindel Hrsg, 2005, n. 172 ad art. 12 LLCA, pp. 200-201). Lorsque les honoraires du mandataire, notamment de l’avocat, sont calculés sur la base d’un tarif horaire, celui-ci supporte le fardeau de la preuve pour le temps consacré à l’exécution du mandat (Fellmann, Berner Kommentar, 1992, n. 424 et 440 ad art. 394 CO, pp. 190 et 193). Dans le cas de l'agent d'affaires breveté, l'art. 8 al. 1 LPAg ne fait pas obligation à ce mandataire de produire spontanément le détail de ses opérations et la liste des débours. En effet, l'agent d'affaires breveté est tenu de fournir à son client la note de ses honoraires et débours, ainsi que la liste de ses encaissements. C'est uniquement si le client le demande que la liste contiendra le détail des opérations et la liste des débours; le montant des honoraires pourra y figurer globalement. Le détail des opérations, avec la liste des débours et encaissements, est porté au grand livre, au chapitre du client (art. 8 al. 2 LPAg). c) En l'espèce, l'agent d'affaires breveté M.________ s'est conformé aux exigences de la loi régissant sa profession. La note établie le 10 décembre 2012 par celui-ci était conforme aux exigences de l'art. 8 al. 1 LPAg puisqu'elle comprenait le montant de ses honoraires et de ses débours, ainsi que la liste de ses encaissements. Il n'est pas établi que le recourant aurait à l'époque demandé le détail des opérations à son mandataire. Quoi qu'il en soit, même si tel avait été le cas, l'art. 8 al. 1 2 e phrase LPAg ne fait pas obligation au mandataire de fournir un relevé détaillé du coût chacune de ses opérations. Il lui impose seulement de détailler ces opérations et de fournir une liste de débours, ce que l'intimé a fait par l'envoi d'un document le 17 décembre 2012. Ce document, qui ne mentionnait pas le temps affecté par le mandataire à chacune des opérations, remplissait néanmoins les conditions posées à l'art. 8 al. 1 2 e phrase LPAg. Il s'ensuit que l'on ne peut pas faire grief à M.________ de n'avoir pas produit de document détaillant précisément le temps mis pour effectuer chacune des opérations puisqu'il s'est malgré tout conformé aux exigences posées par la LPAg en la matière. Ce moyen du recourant, mal fondé, doit être rejeté. Au surplus, le rôle du juge modérateur n'est pas de contrôler la bonne exécution du mandat, l'examen d'une éventuelle violation des obligations découlant du mandat de l'agent d'affaires relevant en principe du seul juge civil ordinaire. Ainsi, les divers griefs du recourant relatifs à une éventuelle faute de l'intimé dans l'exécution de son mandat tombent à faux.</w:t>
      </w:r>
    </w:p>
    <w:p>
      <w:r>
        <w:rPr>
          <w:b/>
        </w:rPr>
        <w:t>E. 4</w:t>
      </w:r>
    </w:p>
    <w:p>
      <w:r>
        <w:t>a) En définitive, le recours, mal fondé, doit être rejeté et la décision entreprise confirmée. b) Les frais judiciaires de deuxième instance, arrêtés à 100 fr. (art. 69 al. 1 et 70 al. 1 TFJC [tarif des frais judiciaires civils du 28 septembre 2010, RSV 270.11.5]) sont mis à la charge du recourant, qui succombe (art. 106 al. 1 CPC). c) Il n'y a pas lieu à l'allocation de dépens, M.________ n'ayant pas procédé avec l'assistance d'un mandataire professionnel. Par ces motifs, la Chambre des recours civile du Tribunal cantonal, statuant à huis clos, prononce : I.              Le recours est rejeté. II.              La décision est confirmée. III. Les frais judiciaires de deuxième instance, arrêtés à 100 fr. (cent francs), sont mis à la charge du recourant A.H.________. IV. Il n’est pas alloué de dépens. V. L’arrêt motivé est exécutoire. Le président :               La greffière : Du 1 er avril 2014 Le dispositif de l'arrêt qui précède est communiqué par écrit aux intéressés. La greffière : Du L'arrêt qui précède, dont la rédaction a été approuvée à huis clos, est notifié en expédition complète, par l'envoi de photocopies, à : ‑ M. A.H.________, ‑ M.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