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375 vom 8. Mai 2014</w:t>
      </w:r>
    </w:p>
    <w:p>
      <w:r>
        <w:t>VD Tribunal cantonal, 2014-05-08, FR</w:t>
      </w:r>
    </w:p>
    <w:p>
      <w:r>
        <w:rPr>
          <w:b/>
        </w:rPr>
        <w:t xml:space="preserve">Quelle: </w:t>
      </w:r>
      <w:r>
        <w:t>https://mcp.opencaselaw.ch/entscheid/vd_findinfo_HC___2014___375</w:t>
      </w:r>
    </w:p>
    <w:p>
      <w:r>
        <w:t>FR: VD_FINDINFO HC / 2014 / 375 du 8 mai 2014</w:t>
      </w:r>
    </w:p>
    <w:p>
      <w:r>
        <w:t>IT: VD_FINDINFO HC / 2014 / 375 del 8 maggio 2014</w:t>
      </w:r>
    </w:p>
    <w:p>
      <w:pPr>
        <w:pStyle w:val="Heading2"/>
      </w:pPr>
      <w:r>
        <w:t>Regeste</w:t>
      </w:r>
    </w:p>
    <w:p>
      <w:r>
        <w:t>FRAIS JUDICIAIRES, DÉPENS | 106 al. 1 CPC (CH)</w:t>
      </w:r>
    </w:p>
    <w:p>
      <w:pPr>
        <w:pStyle w:val="Heading2"/>
      </w:pPr>
      <w:r>
        <w:t>Erwägungen</w:t>
      </w:r>
    </w:p>
    <w:p>
      <w:r>
        <w:rPr>
          <w:b/>
        </w:rPr>
        <w:t>E. 1</w:t>
      </w:r>
    </w:p>
    <w:p>
      <w:r>
        <w:t>a) Lorsque seule la décision sur les frais, qui comprennent les dépens (art. 95 al. 1 let. b CPC) est litigieuse, elle ne peut être attaquée que par un recours (art. 110 et 319 let. b ch. 1 CPC; Tappy, CPC commenté, Bâle 2011, n. 3 ad art. 110 CPC, p. 437). Tel est le cas en l'espèce, la recourante contestant uniquement les frais et dépens mis à sa charge par le premier juge. b) Adressé en temps utile à l'autorité compétente par une personne qui y a un intérêt digne de protection (art. 59 al. 1 let. a CPC), le présent recours est recevable à la forme.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w:t>
      </w:r>
    </w:p>
    <w:p>
      <w:r>
        <w:rPr>
          <w:b/>
        </w:rPr>
        <w:t>E. 3</w:t>
      </w:r>
    </w:p>
    <w:p>
      <w:r>
        <w:t>Aux termes de l’art. 326 al. 1 CPC, les conclusions, les allégations de faits et les preuves nouvelles sont irrecevables. En l’espèce, les pièces produites par la recourante en deuxième instance (annexes 1 à 5) ne figurent pas déjà au dossier de premier instance. Elles sont donc irrecevables.</w:t>
      </w:r>
    </w:p>
    <w:p>
      <w:r>
        <w:rPr>
          <w:b/>
        </w:rPr>
        <w:t>E. 4</w:t>
      </w:r>
    </w:p>
    <w:p>
      <w:r>
        <w:t>La recourante, dont les moyens de recours ne sont pas clairement articulés, se plaint de constatation manifestement inexacte de certains faits, mais surtout de violation du droit. Selon elle, aucun motif en équité ne justifie la mise à sa charge des frais et l’allocation à son père de dépens.</w:t>
      </w:r>
    </w:p>
    <w:p>
      <w:r>
        <w:rPr>
          <w:b/>
        </w:rPr>
        <w:t>E. 4.1</w:t>
      </w:r>
    </w:p>
    <w:p>
      <w:r>
        <w:t>Aux termes de l'art. 106 al. 1 CPC, les frais – soit les frais judiciaires et les dépens (art. 95 al. 1 CPC) – sont mis à la charge de la partie succombante. La partie succombante est le demandeur lorsque le tribunal n’entre pas en matière et en cas de désistement d’action. Les frais comprennent les frais judiciaires et les dépens (art. 95 al. 1 let. b CPC). Ils sont fixés d'office (art. 105 CPC) selon le tarif (art. 96 CPC) des dépens en matière civile (TDC [tarif des dépens en matière civile du 23 novembre 2010, RSV 270.11.6]). Les dépens sont une indemnité de procédure mise à la charge d’un plaideur en faveur de l’autre pour le dédommager des dépenses ou du manque à gagner occasionné par le procès (Tappy, op. cit., n. 21 ad art. 95 CPC). Ils comprennent les débours nécessaires et le défraiement d’un représentant professionnel (art. 95 al. 3 CPC et 1 TDC). Le juge fixe les dépens selon le tarif des dépens en matière civile (TDC) (art. 105 al. 2 CPC), lequel prévoit que le défraiement du représentant est fixé selon le type de procédure et la valeur litigieuse de la cause (art. 3 TDC), valeur litigieuse qui est déterminée par les conclusions (art. 91 al. 1 CPC). L'art. 107 al. 1 CPC dispose que le tribunal peut s'écarter de la règle générale attribuant les frais à la charge de la partie qui succombe au profit d'une répartition des frais selon sa libre appréciation dans certains cas énumérés aux lettres a à f. Cette disposition prévoit notamment une répartition en équité lorsque le litige relève du droit de la famille (let. c) ou lorsque des circonstances particulières rendent la répartition en fonction du sort de la cause inéquitable (let. f). En règle générale, la partie succombante (art. 106 al. 1 CPC) doit verser à la partie victorieuse tous les frais nécessaires causés par le litige (art. 37 al. 2 CDPJ [Code de droit privé judiciaire vaudois du 12 janvier 2010, RSV 211.02]). Toutefois, en droit de la famille, le juge peut s'écarter des règles générales et répartir les frais selon sa libre appréciation, soit en équité (art. 107 al. 1 CPC). Rien ne l'empêche cependant, en cas d'inégalité économique entre les parties, d'en rester à une répartition selon l'art. 106 al. 1 CPC, notamment en cas de litige entre époux portant essentiellement sur les conséquences pécuniaires d'un divorce (Tappy, CPC commenté, 2011, n. 19 ad art. 107 CPC). La libre appréciation prévue par l’art. 107 al. 1 CPC se confond, en pratique, avec une répartition en équité laissant une grande marge de manœuvre au juge (Tappy, op. cit., n. 5 ad art. 107 CPC). Le refus d’une offre transactionnelle raisonnable pourrait ainsi justifier une répartition des frais en équité, sans que cela ne soit obligatoire, ni ne conduise nécessairement à mettre tous les frais à la charge de son auteur (Tappy, op. cit., n. 31 ad art. 107 CPC).</w:t>
      </w:r>
    </w:p>
    <w:p>
      <w:r>
        <w:rPr>
          <w:b/>
        </w:rPr>
        <w:t>E. 4.2</w:t>
      </w:r>
    </w:p>
    <w:p>
      <w:r>
        <w:t>En l’espèce, la recourante invoque essentiellement des arguments appellatoires qui sont irrecevables dans la présente procédure. Quoi qu’il en soit, les points de fait qu’elle conteste sont sans incidence sur le sort de la décision qu’elle attaque. Il est incontestable qu’elle succombe dans la procédure de première instance, ce qui, en application de l’art. 106 CPC, doit en principe avoir pour conséquence qu’elle supporte les frais, lesquels comprennent les dépens. Si le litige relève certes du droit de la famille (art. 107 let. c CPC), les conditions posées par la doctrine pour s’écarter du principe tiré d’une répartition selon l’art. 106 al. 1 CPC, en particulier l’inégalité économique entre les parties (Tappy, CPC commenté, n° 19 ad art. 107 CPC), ne sont pas réalisées en l’espèce. Quant aux conditions de l’art. 107 let f. CPC, l’état de fait, confirmé, de la décision attaquée, exclut qu’il en soit fait application en l’espèce. Il n’y a notamment pas eu en l’espèce un refus, de la part de l’intimé, d’une offre transactionnelle raisonnable qui justifierait une répartition des frais en équité. Au vu de ce qui précède, la décision attaquée est justifiée dans la mesure où la recourante a bel et bien succombé dans la procédure de première instance; elle doit en conséquence supporter les frais. Quant aux dépens, ils sont justifiés, dans leur principe comme en quotité, l’intimé ayant eu recours nécessaire à un mandataire professionnel. Ce moyen, mal fondé, doit être rejeté.</w:t>
      </w:r>
    </w:p>
    <w:p>
      <w:r>
        <w:rPr>
          <w:b/>
        </w:rPr>
        <w:t>E. 5</w:t>
      </w:r>
    </w:p>
    <w:p>
      <w:r>
        <w:t>En définitive, le recours doit être rejeté en application de l'art. 322 al. 1 CPC et l’ordonnance confirmée. Les frais judiciaires de deuxième instance, arrêtés à 200 fr. (art. 69 al. 1 TFJC [tarif des frais judiciaires civils du 28 septembre 2010; RSV 270.11.5]), sont mis à la charge de la recourante qui succombe (art. 106 al. 1 CPC). Il n'y a pas lieu à l'allocation de dépens, dès lors que l'intimé n'a pas été invité à se déterminer. Par ces motifs, la Chambre des recours civile du Tribunal cantonal, statuant à huis clos, prononce : I. Le recours est rejeté. II. L’ordonnance est confirmée. III. Les frais judiciaires de deuxième instance, arrêtés à 200 fr. (deux cents francs), sont mis à la charge de la recourante A.K.________. IV. L’arrêt motivé est exécutoire. Le président :               La greffière : Du</w:t>
      </w:r>
    </w:p>
    <w:p>
      <w:r>
        <w:rPr>
          <w:b/>
        </w:rPr>
        <w:t>E. 9</w:t>
      </w:r>
    </w:p>
    <w:p>
      <w:r>
        <w:t>mai 2014 Le dispositif de l'arrêt qui précède est communiqué par écrit aux intéressés. La greffière : Du L'arrêt qui précède, dont la rédaction a été approuvée à huis clos, est notifié en expédition complète, par l'envoi de photocopies, à : ‑ Mme A.K.________, ‑ Me Manuela Ryter Godel, (pour B.K.________).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