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373 vom 15. April 2014</w:t>
      </w:r>
    </w:p>
    <w:p>
      <w:r>
        <w:t>VD Tribunal cantonal, 2014-04-15, FR</w:t>
      </w:r>
    </w:p>
    <w:p>
      <w:r>
        <w:rPr>
          <w:b/>
        </w:rPr>
        <w:t xml:space="preserve">Quelle: </w:t>
      </w:r>
      <w:r>
        <w:t>https://mcp.opencaselaw.ch/entscheid/vd_findinfo_HC___2014___373</w:t>
      </w:r>
    </w:p>
    <w:p>
      <w:r>
        <w:t>FR: VD_FINDINFO HC / 2014 / 373 du 15 avril 2014</w:t>
      </w:r>
    </w:p>
    <w:p>
      <w:r>
        <w:t>IT: VD_FINDINFO HC / 2014 / 373 del 15 aprile 2014</w:t>
      </w:r>
    </w:p>
    <w:p>
      <w:pPr>
        <w:pStyle w:val="Heading2"/>
      </w:pPr>
      <w:r>
        <w:t>Regeste</w:t>
      </w:r>
    </w:p>
    <w:p>
      <w:r>
        <w:t>ASSISTANCE JUDICIAIRE, AUTORITÉ DE CONCILIATION, BAIL À LOYER | 117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Les recourants soutiennent que leur cause n’est pas dénuée de chance de succès et que la partie adverse est représentée par un avocat, de sorte qu’ils ont droit à l’assistance judicaire pour la procédure devant la Commission de conciliation. b)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CPC commenté, Bâle 2011, n. 20 ad art. 117 CPC).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 Emmel, in Kommentar zur Schweizerischen Zivilprozessordnung, 2010, n. 9 ad art. 118 CPC).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l’art. 274a aCO (Code des obligations suisse du 30 mars 1911, RS 220,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les décisions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CPC commenté, Bâle 2011, n. 3 ad art. 210 CPC), ces considérations, qui mettent l’accent sur l’examen des éléments subjectifs, peuvent être appliquées au nouveau droit de procédure. c) En l’espèce, la Commission de conciliation devra tenter la conciliation sur la réduction de loyer sollicitée et la demande de travaux. Il n’est ainsi pas nécessaire en l’état d’examiner les chances de succès de l’action engagée par les recourants. Il suffit de constater que l’assistance d’un avocat n’est pas nécessaire à ce stade de la procédure. En effet, les questions soulevées dans la requête sont simples et concernent des points factuels que les locataires maîtrisent parfaitement. Ceux-ci occupent une partie importante de leurs activités à intenter des actions, à y résister et exercer des recours. Ayant acquis de ce fait une expérience judiciaire indéniable, ils seront en mesure d’exposer utilement leurs griefs à l’audience de conciliation, comme ils ont d’ailleurs rédigé utilement leur recours. En outre, contrairement aux apparences, la partie adverse n’est pas assistée d’un avocat inscrit au barreau, mais d’un mandataire se présentant comme « avocat d’affaires ». Il n’apparaît pas ainsi qu’il existerait des circonstances particulières tenant à la complexité de la cause ou à l’inexpérience des plaideurs qui exigeraient la désignation d’un conseil d’office aux recourants au stade de la procédure de conciliation. Enfin, s’ils souhaitaient être défendus par un spécialiste des questions de bail à loyer, rien n’empêchait les locataires de recourir aux services d’un consultant agréé de l’Association suisse des locataires (ASLOCA) (cf. art. 11 LJB [loi du 9 novembre 2010 sur la juridiction en matière de bail ; RSV 173.655]).</w:t>
      </w:r>
    </w:p>
    <w:p>
      <w:r>
        <w:rPr>
          <w:b/>
        </w:rPr>
        <w:t>E. 4</w:t>
      </w:r>
    </w:p>
    <w:p>
      <w:r>
        <w:t>Il s’ensuit que le recours doit être rejeté dans la procédure de l’art. 322 al. 1 CPC et la décision entreprise confirmée. Le recours étant d'emblée dépourvu de chances de succès, la requête d'assistance judiciaire des recourants doit être rejetée (art. 117 let. b CPC). Les frais judiciaires de deuxième instance, arrêtés à 100 fr. (art. 69 al. 3 TFJC [tarif des frais judiciaires civils du 28 septembre 2010 ; RSV 270.11.5]), sont par conséquent mis à leur charge (art. 106 al. 1 CPC). Par ces motifs, la Chambre des recours civile du Tribunal cantonal, statuant à huis clos, en application de l'art. 322 al. 1 CPC, prononce : I. Le recours et la demande d’assistance judiciaire sont rejetés. II. La décision est confirmée. III. Les frais judiciaires de deuxième instance, arrêtés à 100 fr. (cent francs), sont mis à la charge des recourants A.K.________ et B.K.________, solidairement entre eux. IV. L'arrêt motivé est exécutoire.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A.K.________ et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