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372 vom 7. Mai 2014</w:t>
      </w:r>
    </w:p>
    <w:p>
      <w:r>
        <w:t>VD Tribunal cantonal, 2014-05-07, FR</w:t>
      </w:r>
    </w:p>
    <w:p>
      <w:r>
        <w:rPr>
          <w:b/>
        </w:rPr>
        <w:t xml:space="preserve">Quelle: </w:t>
      </w:r>
      <w:r>
        <w:t>https://mcp.opencaselaw.ch/entscheid/vd_findinfo_HC___2014___372</w:t>
      </w:r>
    </w:p>
    <w:p>
      <w:r>
        <w:t>FR: VD_FINDINFO HC / 2014 / 372 du 7 mai 2014</w:t>
      </w:r>
    </w:p>
    <w:p>
      <w:r>
        <w:t>IT: VD_FINDINFO HC / 2014 / 372 del 7 maggio 2014</w:t>
      </w:r>
    </w:p>
    <w:p>
      <w:pPr>
        <w:pStyle w:val="Heading2"/>
      </w:pPr>
      <w:r>
        <w:t>Regeste</w:t>
      </w:r>
    </w:p>
    <w:p>
      <w:r>
        <w:t>PROTECTION DE L'UNION CONJUGALE, RELATIONS PERSONNELLES, INTÉRÊT DE L'ENFANT, EXPERTISE | 273 al. 1 CC, 274 al. 2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Bâle 2011, nn. 51 ss ad art. 273 CPC, pp. 1077 ss, Juge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RSV 173.01]). Les ordonnances de mesures protectrices de l’union conjugale étant régies par la procédure sommaire (art. 271 CPC), le délai pour l’introduction de l’appel est de dix jours (art. 314 al. 1 CPC). En l’espèce, interjeté en temps utile par une personne qui y a un intérêt, dans un litige à caractère non patrimonial,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(Jeandin, op. cit., n. 6 ad art. 310 CPC, pp. 1249-1250).</w:t>
      </w:r>
    </w:p>
    <w:p>
      <w:r>
        <w:rPr>
          <w:b/>
        </w:rPr>
        <w:t>E. 3</w:t>
      </w:r>
    </w:p>
    <w:p>
      <w:r>
        <w:t>a) L’appelant invoque en premier lieu le fait que la cause pénale le concernant n’a pas encore été jugée et qu’elle se saurait dès lors être évoquée comme circonstance à charge. b) Si le premier juge a effectivement fait état des accusations portées contre l’appelant dans le cadre de la procédure pénale dirigée contre ce dernier, il s’est fondé sur le contenu du rapport du SPJ, avec lequel l’appelant s’est déclaré d’accord dans ses déterminations du 19 mars 2014, et sur le contenu d’une expertise psychiatrique du</w:t>
      </w:r>
    </w:p>
    <w:p>
      <w:r>
        <w:rPr>
          <w:b/>
        </w:rPr>
        <w:t>E. 4</w:t>
      </w:r>
    </w:p>
    <w:p>
      <w:r>
        <w:t>a) L’appelant soutient que des contacts téléphoniques seraient plus adéquats qu’une correspondance écrite pour maintenir les relations personnelles avec sa fille, dès lors qu’elle ne sait pas écrire en bosniaque et qu’il ne sait pas écrire en français. b)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ATF 123 III 445 c. 3b ; TF 5A_756/2013 du 9 janvier 2014 c. 5.1.2; TF 5A_716/2010 du 23 février 2011 c. 4 et réf., FamPra.ch 2011 p. 491).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L’importance à accorder à l’opinion de l’enfant concerné, lorsqu’il s’agit d’organiser des relations personnelles, dépend de l’âge de celui-ci (FamPra.ch 2009 p. 740 c. 5.1). A l’âge de treize ou quatorze ans, un enfant a atteint un stade de maturité qui lui permet de se forger sa propre opinion et de mesurer les conséquences de ses décisions. Il convient donc de considérer que l’enfant est capable de discernement et de respecter sa décision. Instaurer un droit de visite contre la volonté d’un enfant de cet âge-là ne se justifie plus et ne serait de toute façon pas applicable (TF 5A_160/2011 du 29 mars 2011 c. 5.1). c) En l’espèce, le premier juge n’a pas ignoré les difficultés de langue alléguées par l’appelant, mais a considéré d’une part que les courriers rédigés en français par l’appelant dans le cadre de là procédure étaient parfaitement compréhensibles, et d’autre part qu’une communication écrite était préférable, dès lors qu’I.________ était en l’état réticente, voire opposée à avoir des contacts avec son père. Cette appréciation est adéquate. Les écrits en français de l’appelant qui figurent au dossier montrent effectivement qu’il est parfaitement en mesure de se faire comprendre dans notre langue, et le mode de communication par téléphone ne paraît pas adéquat pour l’instant, compte tenu des peurs exprimées par l’enfant.</w:t>
      </w:r>
    </w:p>
    <w:p>
      <w:r>
        <w:rPr>
          <w:b/>
        </w:rPr>
        <w:t>E. 5</w:t>
      </w:r>
    </w:p>
    <w:p>
      <w:r>
        <w:t>a) L’appelant demande enfin à pouvoir être entendu pour faire valoir ses droits. b) La procédure d’appel ne nécessite pas l’audition de l’appelant (art. 311ss CPC ; Jeandin, op. cit., nn. 1 et 8 ad art. 316 CPC) et à supposer que la requête de l’appelant constitue implicitement le grief de violation de son droit d’être entendu, il faut constater que celui-ci a été pleinement respecté en première instance, par le délai de détermination qui lui a été imparti par avis du 12 mars 2014 et dont il a fait usage.</w:t>
      </w:r>
    </w:p>
    <w:p>
      <w:r>
        <w:rPr>
          <w:b/>
        </w:rPr>
        <w:t>E. 6</w:t>
      </w:r>
    </w:p>
    <w:p>
      <w:r>
        <w:t>En définitive, l’appel doit être rejeté, de même que la demande d’assistance judiciaire, l’appel étant dépourvu de chances de succès (art. 117 let. b CPC). L’arrêt peut être rendu sans frais (art. 112 al. 1 CPC), aucune avance n’ayant été versée. L’intimée n’ayant pas été invitée à se déterminer, il n’y a pas lieu à l’allocation de dépens. Par ces motifs, le juge délégué de la Cour d’appel civile du Tribunal cantonal, statuant à huis clos, en application de l'art. 312 al. 1 CPC, prononce : I. L’appel est rejeté. II. La requête d’assistance judiciaire est rejetée. III. Le prononcé est confirmé. IV. L’arrêt motivé, rendu sans frais, est exécutoire. Le juge délégué : La greffière : Du</w:t>
      </w:r>
    </w:p>
    <w:p>
      <w:r>
        <w:rPr>
          <w:b/>
        </w:rPr>
        <w:t>E. 7</w:t>
      </w:r>
    </w:p>
    <w:p>
      <w:r>
        <w:t>mai 2014 Le dispositif de l'arrêt qui précède est communiqué par écrit aux intéressés. La greffière : Du L'arrêt qui précède, dont la rédaction a été approuvée à huis clos, est notifié en expédition complète, par l'envoi de photocopies, à : ‑ M. F.J.________, ‑ Me Martine Rüdlinger, avocate (pour H.J.________).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 Service de protection de la jeunesse.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