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35 vom 9. Januar 2014</w:t>
      </w:r>
    </w:p>
    <w:p>
      <w:r>
        <w:t>VD Tribunal cantonal, 2014-01-09, FR</w:t>
      </w:r>
    </w:p>
    <w:p>
      <w:r>
        <w:rPr>
          <w:b/>
        </w:rPr>
        <w:t xml:space="preserve">Quelle: </w:t>
      </w:r>
      <w:r>
        <w:t>https://mcp.opencaselaw.ch/entscheid/vd_findinfo_HC___2014___35</w:t>
      </w:r>
    </w:p>
    <w:p>
      <w:r>
        <w:t>FR: VD_FINDINFO HC / 2014 / 35 du 9 janvier 2014</w:t>
      </w:r>
    </w:p>
    <w:p>
      <w:r>
        <w:t>IT: VD_FINDINFO HC / 2014 / 35 del 9 gennaio 2014</w:t>
      </w:r>
    </w:p>
    <w:p>
      <w:pPr>
        <w:pStyle w:val="Heading2"/>
      </w:pPr>
      <w:r>
        <w:t>Regeste</w:t>
      </w:r>
    </w:p>
    <w:p>
      <w:r>
        <w:t>FRAIS JUDICIAIRES, DÉPENS, PREMIÈRE INSTANCE | 107 al. 1 let. f CPC (CH), 111 al. 2 CPC (CH)</w:t>
      </w:r>
    </w:p>
    <w:p>
      <w:pPr>
        <w:pStyle w:val="Heading2"/>
      </w:pPr>
      <w:r>
        <w:t>Erwägungen</w:t>
      </w:r>
    </w:p>
    <w:p>
      <w:r>
        <w:rPr>
          <w:b/>
        </w:rPr>
        <w:t>E. 1</w:t>
      </w:r>
    </w:p>
    <w:p>
      <w:r>
        <w:t>L'art. 110 CPC (Code de procédure civile du 19 décembre 2010 ; RS 272) ouvre la voie du recours de l'art. 319 let. b ch. 1 CPC contre les décisions sur les frais, à savoir les frais judiciaires et les dépens (art. 95 CPC). L’arrêt rectificatif fait courir un nouveau délai recours pour les points concernés par la rectification, à l’exclusion des moyens que les parties auraient pu et dû invoquer à l’encontre du premier arrêt (TF 4A_474/2012 du 8 février 2013 c. 2 ; ATF 137 III 86 c. 1.2 ; ATF 131 III 164 c. 1.2.3). En l’espèce, la rectification du chiffre II attaqué ayant eu lieu le 26 septembre 2013, le recours dirigé contre ce chiffre est interjeté en temps utile (art. 321 al. 1 CPC), de sorte qu’il est recevable. En revanche, dès lors que le chiffre I du prononcé du 17 septembre 2013, selon lequel les frais judicaires, par 500 fr., sont mis à la charge de la recourante, est entré en force à défaut de recours en temps utile, le recours sur ce point est irrecevable.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w:t>
      </w:r>
    </w:p>
    <w:p>
      <w:r>
        <w:t>a) L’intimé prétend, à tort, que le recours est irrecevable, car l’auteur du recours serait P.________, qui n’aurait pas qualité pour recourir puisque la procédure d’exécution forcée n’était pas dirigée contre lui personnellement, mais contre la société D.________Sàrl. En effet, l’acte de recours – de même que toutes les correspondances adressées au Juge de paix – a été établi sur le papier à lettres de la société D.________Sàrl et P.________ s’y exprime en utilisant la première personne du pluriel, de sorte que rien ne permet de considérer qu’il agirait en son nom propre plutôt que comme organe de la société. Au demeurant, on notera qu’avec sa requête d’exécution forcée du 5 mars 2012, l’intimé a produit un extrait du registre du commerce de la société D.________Sàrl indiquant que P.________ en est le gérant avec signature individuelle. Celui-ci s’est au surplus présenté en tant que tel à l’audience de la Présidente du Tribunal des baux du 29 juin 2011, sans que l’intimé ne soulève d’objection à cet égard. b) C’est également à tort que l’intimé soutient que l’acte de recours ne peut se limiter à l’annulation du chiffre II de la décision du 26 septembre 2013 et que la recourante aurait dû prendre des conclusions au fond. En concluant à l’annulation du remboursement de l’avance de frais et du paiement de dépens, la recourante a implicitement conclu à la réforme du chiffre II du dispositif de la décision du 26 septembre 2013 en ce sens qu’elle ne doit plus aucune somme d’argent à l’intimé. Les conclusions de la recourante sont donc formellement recevables. c) La recourante fait valoir que l’intimé a empêché la libération des locaux en ne collaborant pas au déplacement des cuves qui y étaient entreposées, si bien que ce serait à lui de supporter les frais de la procédure. L’intimé soutient pour sa part que D.________Sàrl n’a pas recouru contre l’exécution forcée fixée au 8 août 2012 et que ce n’est qu’à la suite de l’injonction du Juge de paix du 12 juin 2013 que les cuves litigieuses ont finalement été évacuées, de sorte que ce serait à elle de s’acquitter des frais de la procédure. Dans sa lettre du 13 juin 2012, l’intimé a indiqué qu’il était disposé à procéder aux diverses opérations d’évacuation. Ensuite, lors de la séance d’exécution forcée du 8 août 2012, il a déclaré que les trois citernes ne pouvaient pas être sorties des locaux et qu’il entendait les utiliser pour sa propre exploitation. Finalement, il les a déplacées à l’extérieur en septembre 2012, selon ses dires. Outre le fait que l’intimé a ainsi adopté une attitude contradictoire, force est de constater qu’il n’a pas pleinement collaboré à la libération des locaux comme il s’y était engagé selon le chiffre VI de la convention du 29 juin 2011. Cela étant, en application de l’art. 107 al. 1 let. f CPC, selon lequel le tribunal peut s’écarter des règles générales et répartir les frais selon sa libre appréciation lorsque des circonstances particulières rendent la répartition en fonction du sort de la cause inéquitable, on ne saurait mettre les frais de justice de première instance à la charge de la recourante. Comme évoqué au considérant 1 ci-dessus, la recourante doit être déboutée en ce qui concerne les frais judiciaires eu égard à l’autorité de chose jugée à ce sujet, mais elle obtient gain de cause sur la question des dépens. Partant, la décision attaquée doit être réformée en ce sens que la recourante doit rembourser à l’intimé l’avance de frais que celui-ci a effectuée par 500 fr. (art. 111 al. 2 CPC) et qu’il n’est pas alloué de dépens de première instance.</w:t>
      </w:r>
    </w:p>
    <w:p>
      <w:r>
        <w:rPr>
          <w:b/>
        </w:rPr>
        <w:t>E. 4</w:t>
      </w:r>
    </w:p>
    <w:p>
      <w:r>
        <w:t>Les frais judiciaires de deuxième instance sont arrêtés à 200 fr. (art. 69 al. 1 TFJC [tarif des frais judiciaires en matière civile du 28 septembre 2010 ; RSV 270.11.5]) et mis à la charge de la recourante par 50 fr. et à la charge de l’intimé par 150 fr. (art. 106 al. 2 CPC). L’intimé doit ainsi verser 150 fr. à la recourante à titre de restitution d’avance de frais (art. 111 al. 2 CPC). Il n’y a pas lieu d’allouer de dépens de deuxième instance à l’intimé, qui succombe sur sa conclusion principale concernant la recevabilité du recours. Par ces motifs, la Chambre des recours civile du Tribunal cantonal, statuant à huis clos, prononce : I. Le recours est admis. II. Le prononcé est réformé comme il suit au chiffre II de son dispositif : II. dit que D.________Sàrl doit rembourser à R.________ l’avance de frais qu’il a effectuée, par 500 fr. (cinq cents francs), et qu’il n’est pas alloué de dépens. Le prononcé est confirmé pour le surplus. III. Les frais judiciaires de deuxième instance, arrêtés à 200 fr. (deux cents francs), sont mis à la charge de l’intimé R.________, par 150 fr. (cent cinquante francs), et de D.________Sàrl, par 50 fr. (cinquante francs). IV. R.________ versera à D.________Sàrl la somme de 150 fr. (cent cinquante francs) à titre de restitution d’avance de frais de deuxième instance. V. Il n’est pas alloué de dépens de deuxième instance. VI. L'arrêt motivé est exécutoire. Le président :               La greffière : Du 10 janvier 2014 Le dispositif de l'arrêt qui précède est communiqué par écrit aux intéressés. La greffière : Du L'arrêt qui précède, dont la rédaction a été approuvée à huis clos, est notifié en expédition complète, par l'envoi de photocopies, à : ‑ D.________Sàrl ‑ Me Philippe Conod (pour R.________) La Chambre des recours civile considère que la valeur litigieuse est de 2’768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