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340 vom 15. April 2014</w:t>
      </w:r>
    </w:p>
    <w:p>
      <w:r>
        <w:t>VD Tribunal cantonal, 2014-04-15, FR</w:t>
      </w:r>
    </w:p>
    <w:p>
      <w:r>
        <w:rPr>
          <w:b/>
        </w:rPr>
        <w:t xml:space="preserve">Quelle: </w:t>
      </w:r>
      <w:r>
        <w:t>https://mcp.opencaselaw.ch/entscheid/vd_findinfo_HC___2014___340</w:t>
      </w:r>
    </w:p>
    <w:p>
      <w:r>
        <w:t>FR: VD_FINDINFO HC / 2014 / 340 du 15 avril 2014</w:t>
      </w:r>
    </w:p>
    <w:p>
      <w:r>
        <w:t>IT: VD_FINDINFO HC / 2014 / 340 del 15 aprile 2014</w:t>
      </w:r>
    </w:p>
    <w:p>
      <w:pPr>
        <w:pStyle w:val="Heading2"/>
      </w:pPr>
      <w:r>
        <w:t>Regeste</w:t>
      </w:r>
    </w:p>
    <w:p>
      <w:r>
        <w:t>ASSISTANCE JUDICIAIRE, AVOCAT D'OFFICE, INDEMNITÉ ÉQUITABLE, AVOCAT, STAGE | 22 al. 2 LPAv, 122 al. 1 let. a CPC (CH), 2 al. 1 RAJ</w:t>
      </w:r>
    </w:p>
    <w:p>
      <w:pPr>
        <w:pStyle w:val="Heading2"/>
      </w:pPr>
      <w:r>
        <w:t>Erwägungen</w:t>
      </w:r>
    </w:p>
    <w:p>
      <w:r>
        <w:rPr>
          <w:b/>
        </w:rPr>
        <w:t>E. 1</w:t>
      </w:r>
    </w:p>
    <w:p>
      <w:r>
        <w:t>L’article 110 CPC (Code de procédure civile du 19 décembre 2008 ; RS 272)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CPC, p. 503). Interjeté en temps utile par une partie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La production de pièces nouvelles en deuxième instance est prohibée (art. 326 al. 1 CPC). En l’espèce, les pièces produites par le recourant en deuxième instance sont irrecevables dans la mesure où elles ne figurent pas déjà au dossier de première instance.</w:t>
      </w:r>
    </w:p>
    <w:p>
      <w:r>
        <w:rPr>
          <w:b/>
        </w:rPr>
        <w:t>E. 3</w:t>
      </w:r>
    </w:p>
    <w:p>
      <w:r>
        <w:t>Le recourant soutient que l’activité de son stagiaire a eu lieu dans le cadre du mandat d’office qui lui avait été confié et qu’elle devait être indemnisée. Selon l’art. 1 al. 1 RAJ (règlement du 7 décembre 2010 sur l’assistance judiciaire en matière civile ; RSV 211.02.3), les avocats d'office sont désignés par le tribunal compétent selon l'art. 39, al. 1 et 2 CDPJ (Code de droit privé judiciaire vaudois du 12 janvier 2010 ; RSV 211.01). Selon la doctrine, l’avocat d’office a envers le client les mêmes obligations que l’avocat de choix (Favre, L’assistance judiciaire gratuite en droit suisse, thèse Lausanne 1989, p. 135). Si l’avocat doit accomplir son mandat personnellement, cela n’exclut pas le recours à des auxiliaires, tel l’avocat-stagiaire (Bohnet/Martenet, Droit de la profession d’avocat, 2009, n os 2662 et 2665 pp. 1070-1071). L’art. 22 al. 2 LPAv (loi du 24 septembre 2002 sur la profession d’avocat ; RSV 177.11) dispose que les avocats-stagiaires peuvent, sous la direction et sous la responsabilité d'un avocat, assister les parties notamment devant les juridictions civiles. L’art. 2 al. 1 let. b RAJ prévoit une rémunération particulière pour l’activité de l’avocat-stagiaire dans le cadre d’un mandat d’office. Il résulte des considérations qui précèdent que l’activité de l’avocat-stagiaire M.________ était couverte par la décision du premier juge désignant le recourant comme conseil d’office et doit être rémunérée en application de l’art. 2 al. 1 let. b RAJ.</w:t>
      </w:r>
    </w:p>
    <w:p>
      <w:r>
        <w:rPr>
          <w:b/>
        </w:rPr>
        <w:t>E. 4</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En l’espèce, le temps consacré par le recourant et l’avocat-stagiaire M.________ au dossier apparaît adéquat. Au tarif horaire de 110 fr. pour un avocat-stagiaire, l’indemnité allouée au recourant doit être augmentée de 1'210 fr., montant auquel il convient d’ajouter les frais de vacation, par 80 francs. L’indemnité globale allouée doit ainsi être portée à 2'790 fr. (1'500 + 1210 + 80).</w:t>
      </w:r>
    </w:p>
    <w:p>
      <w:r>
        <w:rPr>
          <w:b/>
        </w:rPr>
        <w:t>E. 5</w:t>
      </w:r>
    </w:p>
    <w:p>
      <w:r>
        <w:t>En conclusion, le recours doit être admis et la décision réformée en ce sens que l’indemnité d’office du recourant est fixée à 2'790 fr., TVA et débours compris. Vu l’admission du recours et le fait qu’ils ne sont pas imputables aux parties, les frais judiciaires de deuxième instance, fixés à 200 fr. (art. 69 al. 1 et 70 al. 3 TFJC [tarif du 28 septembre 2010 des frais judiciaires civils ; RSV 270.11.5]), sont laissés à la charge de l’Etat (art. 107 al. 2 CPC). Par ces motifs, la Chambre des recours civile du Tribunal cantonal, statuant à huis clos, prononce : I. Le recours est admis. II. Le jugement est réformé au chiffre VII de son dispositif en ce sens que l’indemnité d’office de Me W.________, conseil d’office du demandeur A.________, est arrêtée à 2'790 fr. (deux mille sept cent nonante francs), TVA et débours compris. Le jugement est confirmé pour le surplus. III. Les frais judiciaires de deuxième instance, arrêtés à 200 fr. (deux cents francs), sont laissés à la charge de l’Etat. IV. L’arrêt motivé est exécutoire. Le président :               Le greffier : Du 16 avril 2014 Le dispositif de l'arrêt qui précède est communiqué par écrit aux intéressés. Le greffier : Du L'arrêt qui précède, dont la rédaction a été approuvée à huis clos, est notifié en expédition complète, par l'envoi de photocopies, à : ‑ Me W.________, ‑ M. A.________.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