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333 vom 14. April 2014</w:t>
      </w:r>
    </w:p>
    <w:p>
      <w:r>
        <w:t>VD Tribunal cantonal, 2014-04-14, FR</w:t>
      </w:r>
    </w:p>
    <w:p>
      <w:r>
        <w:rPr>
          <w:b/>
        </w:rPr>
        <w:t xml:space="preserve">Quelle: </w:t>
      </w:r>
      <w:r>
        <w:t>https://mcp.opencaselaw.ch/entscheid/vd_findinfo_HC___2014___333</w:t>
      </w:r>
    </w:p>
    <w:p>
      <w:r>
        <w:t>FR: VD_FINDINFO HC / 2014 / 333 du 14 avril 2014</w:t>
      </w:r>
    </w:p>
    <w:p>
      <w:r>
        <w:t>IT: VD_FINDINFO HC / 2014 / 333 del 14 aprile 2014</w:t>
      </w:r>
    </w:p>
    <w:p>
      <w:pPr>
        <w:pStyle w:val="Heading2"/>
      </w:pPr>
      <w:r>
        <w:t>Regeste</w:t>
      </w:r>
    </w:p>
    <w:p>
      <w:r>
        <w:t>OBLIGATION D'ENTRETIEN, ENFANT, MESURE PROVISIONNELLE, ACTION EN PATERNITÉ | 285 al. 1 CC, 303 al. 1 CPC (CH)</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 patrimoniales, la valeur litigieuse en première instance est de 10'000 fr. au moins (art. 308 al. 2 CPC). Les mesures provisionnelles étant régies par la procédure sommaire (art. 248 let. d CPC), le délai d’appel est de dix jours (art. 314 al. 1 CPC). Interjeté en temps utile par une personne qui y a intérêt dans un litige dont la valeur litigieuse de première instance, calculée selon l’art. 92 al. 2 CPC, dépasse 10'000 fr., l’appel est recevable.</w:t>
      </w:r>
    </w:p>
    <w:p>
      <w:r>
        <w:rPr>
          <w:b/>
        </w:rPr>
        <w:t>E. 2</w:t>
      </w:r>
    </w:p>
    <w:p>
      <w:r>
        <w:t>a) L’appel portant sur des mesures provisionnelles, il relève de la compétence du juge unique (art. 84 al. 2 LOJV [loi du 12 décembre 1979 d’organisation judiciaire ; RSV 173.01]). b/aa)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bb) L’appelant soutient que le premier juge ne pouvait se fonder sur les revenus apparus sur son compte postal, dès lors que ceux-ci auraient correspondu à des salaires versés par des entreprises de travail temporaire à un tiers, auquel il aurait prêté tant son identité que l’usage dudit compte. Cette allégation n’est cependant étayée par aucun élément de preuve, ainsi une déclaration dudit tiers. Au surplus, contrairement à ce qu’expose l’appelant, il n’apparaît nullement qu’il aurait retiré les montants de ces salaires pour les reverser à un tiers après avoir prélevé une rémunération pour ses services. On constate en effet que, après réception de ces salaires, des opérations de paiement sont effectuées au guichet postal pour un montant qui ne permet pas de considérer qu’une rémunération vraisemblable en pourcentage ou en chiffre rond a été prélevée, ainsi notamment 2'672 fr. 95 le 5 juin 2013 après réception d’un salaire de 4'161 fr., 1'395 le 3 juillet 2013 après réception d’un salaire de 2'602 fr. 20 le 2 juillet 2013, 3'858 fr. 90 le 5 août 2013 après réception le même jour d’un salaire de 6'395 fr. et 1'297 fr. 90 le 4 septembre 2013 après réception le même jour d’un salaire de 5'805 fr. 35. On doit dès lors s’en tenir, au stade des mesures provisionnelles, à la présomption créée par les montants crédités sur le compte de l’appelant qu’il a reçu des salaires. L’appelant se prévaut encore du fait qu’il soit inscrit à un cours d’allemand ayant lieu l’après-midi. Cet élément n’établit cependant ni qu’il serait dépourvu de capacité de travail, ni qu’il serait tenu de suivre ledit cours. Quant au témoignage de la tante de l’intimée, il est corroboré par les entrées de salaire sur le compte postal de l’appelant, de sorte qu’il peut être pris en considération.</w:t>
      </w:r>
    </w:p>
    <w:p>
      <w:r>
        <w:rPr>
          <w:b/>
        </w:rPr>
        <w:t>E. 3</w:t>
      </w:r>
    </w:p>
    <w:p>
      <w:r>
        <w:t>L’appelant fait valoir qu’il supporte un loyer de 873 fr. par mois et des primes d’assurance-maladie pour sa famille de 556 fr. 80 par mois. Il soutient que ses charges couvriraient un éventuel revenu hypothétique et qu’ayant un autre enfant à charge, la proportion applicable à la contribution en faveur de l’intimée devrait représenter 12,5 % de ses revenus. Aux termes de l'art. 285 al. 1 CC (Code civil suisse du 10 décembre 1907, RS 210),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Celui des parents dont la capacité financière est supérieure peut être tenu, suivant les circonstances, de subvenir à l'entier du besoin en argent si l'autre remplit son obligation à l'égard de l'enfant essentiellement en nature (ATF 120 II 285 c. 3a/cc, JT 1996 I 213; TF 5A_ 936/2012 du 23 avril 2013 c. 2.1 et les arrêts cités). La contribution d'entretien ne doit pas dépasser les limites de la capacité contributive économique du parent débiteur (ATF 137 III 59 c. 4.2.1, SJ 2011 I 221), dont le minimum vital au sens du droit des poursuites doit être préservé (ATF 135 III 66, JT 2010 I 167).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 lorsqu'il y en a quatre (Bastons Bulletti, L'entretien après divorce: méthodes de calcul, montant, durée et limites, in SJ 2007 lI 77, spéc. p. 107 s.; RSJ 1984, n. 4, p. 392 et note; Meier/Stettler, Droit de la filiation, 4 e éd., Zurich 2009, p. 567 s.; TF 5A_84/2007 du 18 septembre 2007 c. 5.1, RDT 2007 299). Ces pourcentages ne valent en général que si le revenu du débiteur se situe entre 3'500 et 4'500 fr. par mois (ATF 116 III 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Les pourcentages susmentionnés ne constituent que des taux approximatifs qui doivent être pondérés au vu des circonstances, selon l'équité (ATF 107 Il 406 c. 2c; RSJ 1984, n. 4, p. 392; Meier/Stettler, op. cit., p. 567 s. ; CACI 5 avril 2013/189 c. 6). En l’espèce, l’appelant et son épouse disposent d’une capacité de gain et ont un enfant. Les charges invoquées ne représentent en conséquence pas une somme extraordinaire atteignant le minimum vital de l’appelant. En outre, les revenus de l’appelant sont inférieurs à la fourchette dans laquelle la méthode des pourcentages est applicable et l’intimée n’est plus en bas âge. Ces éléments justifient de s’écarter de la règle jurisprudentielle selon laquelle, pour deux enfants en bas âge, la proportion des revenus servant à l’entretien de ceux-ci s’élève à 25-27 % et le premier juge n’a pas abusé de son pouvoir d’appréciation en fixant cette proportion à 15 %.</w:t>
      </w:r>
    </w:p>
    <w:p>
      <w:r>
        <w:rPr>
          <w:b/>
        </w:rPr>
        <w:t>E. 4</w:t>
      </w:r>
    </w:p>
    <w:p>
      <w:r>
        <w:t>L’appelant a requis le bénéfice de l’assistance judiciaire. Toutefois, l’argumentation présentée pour justifier tant sa conclusion principale que subsidiaire ne permettait pas de faire apparaître le prononcé attaqué comme non-conforme au droit. Il y a dès lors lieu de considérer que l’appel était dénué de chances de succès, ce qui justifie de ne pas octroyer à l’appelant l’assistance judiciaire requise pour la procédure d’appel.</w:t>
      </w:r>
    </w:p>
    <w:p>
      <w:r>
        <w:rPr>
          <w:b/>
        </w:rPr>
        <w:t>E. 5</w:t>
      </w:r>
    </w:p>
    <w:p>
      <w:r>
        <w:t>En conclusion le recours doit être rejeté en application de l’art. 312 al. 1 CPC, le prononcé confirmé et la requête d’assistance judiciaire rejetée. Vu le rejet de l’appel, les frais judiciaires de deuxième instance, arrêtés à 600 fr. (art. 65 al. 2 TFJC [tarif du 28 septembre 2010 des frais judiciaires civils ; RSV 270.11.5]), doivent être mis à la charge de l’appelant (art. 106 al. 1 CPC).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S.________. V. L’arrêt motivé est exécutoire. Le juge délégué : Le greffier : Du 15 avril 2014 Le dispositif de l'arrêt qui précède est communiqué par écrit aux intéressés. Le greffier : Du L'arrêt qui précède, dont la rédaction a été approuvée à huis clos, est notifié en expédition complète, par l'envoi de photocopies, à : ‑ Me Jean-Pierre Bloch (pour S.________), ‑ Me Laurent Maire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