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332 vom 15. April 2014</w:t>
      </w:r>
    </w:p>
    <w:p>
      <w:r>
        <w:t>VD Tribunal cantonal, 2014-04-15, FR</w:t>
      </w:r>
    </w:p>
    <w:p>
      <w:r>
        <w:rPr>
          <w:b/>
        </w:rPr>
        <w:t xml:space="preserve">Quelle: </w:t>
      </w:r>
      <w:r>
        <w:t>https://mcp.opencaselaw.ch/entscheid/vd_findinfo_HC___2014___332</w:t>
      </w:r>
    </w:p>
    <w:p>
      <w:r>
        <w:t>FR: VD_FINDINFO HC / 2014 / 332 du 15 avril 2014</w:t>
      </w:r>
    </w:p>
    <w:p>
      <w:r>
        <w:t>IT: VD_FINDINFO HC / 2014 / 332 del 15 aprile 2014</w:t>
      </w:r>
    </w:p>
    <w:p>
      <w:pPr>
        <w:pStyle w:val="Heading2"/>
      </w:pPr>
      <w:r>
        <w:t>Regeste</w:t>
      </w:r>
    </w:p>
    <w:p>
      <w:r>
        <w:t>MESURE PROVISIONNELLE, OBLIGATION D'ENTRETIEN, CONJOINT, CONCLUSIONS, OBLIGATION DE CHIFFRER LES CONCLUSIONS | 58 al. 1 CPC (CH), 59 al. 1 CPC (CH), 84 CPC (CH), 85 CPC (CH)</w:t>
      </w:r>
    </w:p>
    <w:p>
      <w:pPr>
        <w:pStyle w:val="Heading2"/>
      </w:pPr>
      <w:r>
        <w:t>Erwägungen</w:t>
      </w:r>
    </w:p>
    <w:p>
      <w:r>
        <w:rPr>
          <w:b/>
        </w:rPr>
        <w:t>E. 1</w:t>
      </w:r>
    </w:p>
    <w:p>
      <w:r>
        <w:t>L’art. 308 al. 1 let. b CPC (Code de procédure civile du 19 décembre 2008 ; RS 272) ouvre la voie de l’appel contre les décisions de première instance sur les mesures provisionnelles, dans la mesure où, pour les affaires patrimoniales, la valeur litigieuse de première instance, calculée conformément à l’art. 92 CPC, est de 10'000 fr. au moins (art. 308 al.</w:t>
      </w:r>
    </w:p>
    <w:p>
      <w:r>
        <w:rPr>
          <w:b/>
        </w:rPr>
        <w:t>E. 2</w:t>
      </w:r>
    </w:p>
    <w:p>
      <w:r>
        <w:t>a) L'appel portant sur des mesures provisionnelles, il relève de la compétence du juge unique (art. 84 al. 2 LOJV [loi du 12 décembre 1979 d'organisation judiciaire; RSV 173.01]).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w:t>
      </w:r>
    </w:p>
    <w:p>
      <w:r>
        <w:rPr>
          <w:b/>
        </w:rPr>
        <w:t>E. 3</w:t>
      </w:r>
    </w:p>
    <w:p>
      <w:r>
        <w:t>a) L’appelant soutient que le premier juge n’a pas respecté la maxime de disposition en statuant alors que son épouse n’avait pas pris de conclusions chiffrées. b) Selon l’art. 58 al. 1 CPC, le tribunal ne peut accorder à une partie ni plus ni autre chose que ce qui est demandé, ni moins que ce qui est reconnu par la partie adverse. L’action tendant au paiement d’une somme d’argent doit être chiffrée (art. 84 al. 2 CPC), et l’absence de conclusions claires doit être sanctionnée par un refus d’entrée en matière (art. 59 al. 1 CPC ; ATF 137 III 617 c. 4.3). Selon l’art. 85 al. 1 CPC, si le demandeur est dans l’impossibilité d’articuler d’entrée de cause le montant de sa prétention ou si cette indication ne peut être exigée d’emblée, il peut intenter une action non chiffrée. Selon cette même disposition, le demandeur doit cependant indiquer une valeur minimale comme valeur litigieuse provisoire. En matière de divorce, lorsque la contribution d'entretien est soumise au principe de disposition, comme c’est le cas pour la pension en faveur de l’épouse, la conclusion du demandeur tendant au paiement « d'un montant à fixer par le Tribunal, mais d'au moins tant », n'est recevable que pour le montant minimum indiqué (TF 5A_906/2012 du 18 avril 2013 c. 6.1.1). De même, des conclusions tendant à l’octroi d’une contribution d’entretien usuelle, adéquate ou « légale » (« gesetzlich ») ne sont pas suffisantes (TF 5A_766/2008 du 4 février 2009 c. 2.2 ; Stalder, Rechtsbegehren in familienrechtlichen Verfahren, in FamPra.ch 1/2014 p. 43, spéc. p. 45). Toutefois, dans ce domaine, dès lors que la compétence et la procédure peuvent être déterminées sans égard à la valeur litigieuse et que la partie défenderesse est en mesure d’évaluer sommairement le risque du procès, on peut renoncer à l’indication d’une valeur minimale (Stalder, op. cit., p. 57). Il est en outre impossible pour le demandeur de chiffrer ses prétentions lorsque les informations lui permettant d’en articuler le montant sont en mains du défendeur ou d’un tiers (ATF 123 III 140 c. 2b, JT 1998 I 22). Par ailleurs, il découle de l’interdiction de formalisme excessif posée à l’art. 29 al. 1 Cst. [Constitution fédérale de la Confédération suisse du 18 avril 1999 ; RS 101], ainsi que du principe de la bonne foi de l’art. 52 CPC, que le juge doit, à titre exceptionnel, entrer en matière sur des conclusions non chiffrées lorsque la somme à allouer est d'emblée reconnaissable au regard de la motivation du recours ou de la décision attaquée (ATF 137 III 617 c. 6.2 ; TF 5A_654/2013 du 2 décembre 2013 c. 1.2 ; Arrêt de l’Obergericht du canton de Zurich LC120049-O/U du 29 avril 2013, c. 1.2 et 1.3). Néanmoins, si le tribunal, le cas échéant suite à une protestation du défendeur, considère que les conditions pour la prise de conclusions non chiffrées ne sont pas remplies, il doit fixer au demandeur un délai pour rectifier l’acte (cf. art. 132 al. 1 CPC; Bohnet, CPC commenté, Bâle 2011, nn. 19 et 25 ad art. 85 CPC, pp. 277 et 278; JT 2012 III 230 ; Stalder, op. cit., p. 63). c) En l’espèce, il est vrai que dans sa requête de mesures provisionnelles du 21 novembre 2013, l’intimée n’a pas indiqué le montant de la contribution d’entretien à laquelle elle prétendait. On ne se trouve cependant pas dans un cas où le juge aurait statué en l’absence de conclusions de la partie, puisque l’épouse a pris des conclusions qu’elle s’est réservée de chiffrer ultérieurement. On ne se trouve pas non plus dans la situation traitée par le Tribunal fédéral dans son arrêt 5A_906/2012 du 18 avril 2013 cité par l’appelant, dans laquelle un plaideur réclamait « un montant à fixer par le tribunal, mais d’au moins tant » et où cette conclusion n’était recevable que pour le montant minimum indiqué. Il s’agit plutôt de décider si l’imprécision de la conclusion de l’intimée doit être sanctionnée. Celle-ci a pris des conclusions non chiffrées dans l’attente « du résultat de l’instruction portant sur ses charges et revenus ». L’appelant n’a pas protesté contre ce mode de procéder. Quant au premier juge, alors même que cette tâche lui incombait, il n’a pas exigé de l’intimée qu’elle précise ses conclusions, que cela soit à réception de la requête de mesures provisionnelles ou à l’audience. L’intimée pouvait dès lors considérer de bonne foi que tant le premier juge que l’époux avaient saisi qu’elle demandait une augmentation de la contribution d’entretien en sa faveur dans une mesure qui résultait de ses allégations : elle prétendait en effet d’une part que son revenu s’était réduit de quelque 1'409 fr. 90 par mois, d’autre part qu’elle devait supporter la majeure partie de la charge des enfants du couple en raison de la carence de l’époux (cf requête de mesures provisionnelles du 21 novembre 2013, allégués 15 à 18, p. 3). Compte tenu des procédures antérieures dans le cadre desquelles le montant de la contribution d’entretien avait varié entre 2'500 fr. et 900 fr., l’appelant ne se trouvait pas dans l’incertitude au sujet de la prétention de l’intimée. Celle-ci ne s’était pas bornée à réclamer une pension usuelle, ce qui aurait été insuffisamment précis. Cela étant, le premier juge n’aurait pas pu refuser d’entrer en matière sur ces conclusions de l’épouse sans contrevenir aux règles de la bonne foi (art. 52 CPC). A cela s’ajoute qu’un tel refus aurait violé l’interdiction du formalisme excessif de l’art. 29 al. 1 Cst., puisqu’on ne voit pas ce que l’articulation au franc près d’une conclusion en augmentation de contribution d’entretien aurait apporté au procès, la requête de mesures provisionnelles exposant de façon suffisamment claire ce que l’épouse entendait obtenir. Enfin, l’appelant est malvenu d’invoquer en appel une irrégularité dont il ne tenait qu’à lui de demander la correction en première instance. Dès lors, mal fondé, le grief de l’appelant doit être rejeté.</w:t>
      </w:r>
    </w:p>
    <w:p>
      <w:r>
        <w:rPr>
          <w:b/>
        </w:rPr>
        <w:t>E. 4</w:t>
      </w:r>
    </w:p>
    <w:p>
      <w:r>
        <w:t>En conclusion, l’appel doit être rejeté en application de l’art. 312 al. 1 CPC et l’ordonnance confirmée. Les frais judiciaires de deuxième instance, arrêtés à 600 fr. (art. 65 al. 2 TFJC [tarif du 28 septembre 2010 des frais judiciaires civils ; RSV 270.11.5]), sont mis à la charge de l’appelant, qui succombe (art. 106 al. 1 CPC). Il n’y a pas matière à l’allocation de dépens, l’intimée n’ayant pas été invitée à se déterminer.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X.________. IV. L’arrêt motivé est exécutoire. Le juge délégué : La greffière : Du 16 avril 2014 Le dispositif de l'arrêt qui précède est communiqué par écrit aux intéressés. La greffière : Du L'arrêt qui précède, dont la rédaction a été approuvée à huis clos, est notifié en expédition complète, par l'envoi de photocopies, à : ‑ Me Mélanie Freymond, avocate (pour X.________), ‑ Me Olivier Flattet, avocat (pour C.________).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