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331 vom 6. Mai 2014</w:t>
      </w:r>
    </w:p>
    <w:p>
      <w:r>
        <w:t>VD Tribunal cantonal, 2014-05-06, FR</w:t>
      </w:r>
    </w:p>
    <w:p>
      <w:r>
        <w:rPr>
          <w:b/>
        </w:rPr>
        <w:t xml:space="preserve">Quelle: </w:t>
      </w:r>
      <w:r>
        <w:t>https://mcp.opencaselaw.ch/entscheid/vd_findinfo_HC___2014___331</w:t>
      </w:r>
    </w:p>
    <w:p>
      <w:r>
        <w:t>FR: VD_FINDINFO HC / 2014 / 331 du 6 mai 2014</w:t>
      </w:r>
    </w:p>
    <w:p>
      <w:r>
        <w:t>IT: VD_FINDINFO HC / 2014 / 331 del 6 maggio 2014</w:t>
      </w:r>
    </w:p>
    <w:p>
      <w:pPr>
        <w:pStyle w:val="Heading2"/>
      </w:pPr>
      <w:r>
        <w:t>Regeste</w:t>
      </w:r>
    </w:p>
    <w:p>
      <w:r>
        <w:t>BAIL À LOYER, VALEUR LITIGIEUSE, COMPÉTENCE RATIONE MATERIAE | 107 al. 2 CPC (CH), 209 CPC (CH), 212 CPC (CH), 308 al. 2 CPC (CH), 310 CPC (CH), 92 al. 1 CPC (CH)</w:t>
      </w:r>
    </w:p>
    <w:p>
      <w:pPr>
        <w:pStyle w:val="Heading2"/>
      </w:pPr>
      <w:r>
        <w:t>Erwägungen</w:t>
      </w:r>
    </w:p>
    <w:p>
      <w:r>
        <w:rPr>
          <w:b/>
        </w:rPr>
        <w:t>E. 1</w:t>
      </w:r>
    </w:p>
    <w:p>
      <w:r>
        <w:t>a) Le litige porte notamment sur la validité d’une résiliation de bail.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c.1.1; SJ 2001 l 1 ; ATF 119 II 147 c. 1). b) En l’espèce, l’appelant a conclu à l’annulation de la résiliation du bail dont l’échéance contractuelle est fixée au 30 juin 2016. Compte tenu du loyer s’élevant à 715 fr., charges comprises, la valeur litigieuse est manifestement supérieure à 10'000 francs. Partant c’est la voie de l’appel, et non du recours, qui est ouverte (art. 308 al. 2 CPC). Le recours sera donc traité comme un appel, dont il remplit les conditions de recevabilité, ayant été formé en temps utile (art. 311 al. 1 CPC), par une partie qui y a intérêt (art. 59 al. 2 let. a CPC), contre une décision finale de première instance rendue dans une cause patrimoniale dont la valeur litigieuse excède 10’000 francs.</w:t>
      </w:r>
    </w:p>
    <w:p>
      <w:r>
        <w:rPr>
          <w:b/>
        </w:rPr>
        <w:t>E. 2</w:t>
      </w:r>
    </w:p>
    <w:p>
      <w:r>
        <w:t>a) L’appel peut être formé pour violation du droit ou pour constatation inexacte des faits (art. 310 CPC). L’instance d’appel revoit les faits avec une cognition pleine et entière; elle contrôle librement l’appréciation des preuves et les constatations de fait de la décision de première instance (HohI, Procédure civile, tome lI, 2 e éd., 2010, n° 2399, p. 435). Par ailleurs, l’autorité d’appel applique le droit d’office et n’est pas liée par les motifs invoqués par les parties ou par le tribunal de première instance ; son pouvoir d’examen est plein et entier (HohI, op. cit., n° 2396, p. 435; Spühler, Commentaire bâlois, n. 1 ad art. 311 ZPO, qui parle de “vollkommenes Rechtsmittel”). b) L'art. 59 al. 1 CPC prévoit que le tribunal n'entre en matière que sur les demandes et les requêtes qui satisfont aux conditions de recevabilité de l'action. Selon la jurisprudence de la Cour de céans (CACI 16 août 2011/197, in JdT 2011 III 185),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(Bohnet, Les défenses en procédure civile suisse, in RDS 128 [2009] II 216; Bohnet, CPC commenté, n. 15 ad art. 60 CPC; Egli, DIKE-Komm. n. 21 ad art. 202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loc. cit.; Bohnet, CPC commenté, n. 16 ad art. 60 CPC; sur les tâches de l’autorité de conciliation en général : Lachat, Procédure civile en matière de baux et loyers, Lausanne 2011, pp. 86 ss).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(Bohnet, CPC commenté, n. 18 ad art. 60 CPC; Egli, DIKE-Komm. nn. 18-20 ad art. 202 CPC; contra Honegger, ZPO Komm. n. 19 ad art. 202 CPC, pour qui l'autorité de conciliation pourrait examiner d'"autres conditions de recevabilité", sans cependant être plus précis). Les délais de déchéance en matière de demandes formatrices, telle la demande en annulation de congé au sens de l'art. 273 al. 1 CO, relèvent de l'action et non de l'instance (Bohnet, Les défenses, op . cit., p. 307; Bohnet, CPC commenté, n. 147 ad art. 59 CPC).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(CACI 16 août 2011/197, in JdT 2011 III 185). c) En l’espèce, la Commission de conciliation a rendu une décision en application de l’art. 212 CPC, qui dispose que l’autorité de conciliation peut, sur requête du demandeur, statuer au fond dans les litiges patrimoniaux dont la valeur litigieuse ne dépasse pas 2’000 francs. La Commission de conciliation a manifestement considéré que la valeur litigieuse correspondait en l’espèce à la somme de 1’430 fr., représentant les loyers de novembre et décembre 2013. Or, tel n’est pas le cas, pour les motifs exposés plus haut (cf. c. 1a supra). Dès lors que la Commission de conciliation n’avait pas de compétence juridictionnelle, la décision par laquelle elle a statué à tort sur les conditions de recevabilité de l’action et non au fond, doit être annulée. De toute manière, au vu de la jurisprudence précitée, l’autorité de conciliation ne pouvait prononcer l’irrecevabilité de la requête au motif que celle-ci serait tardive.</w:t>
      </w:r>
    </w:p>
    <w:p>
      <w:r>
        <w:rPr>
          <w:b/>
        </w:rPr>
        <w:t>E. 3</w:t>
      </w:r>
    </w:p>
    <w:p>
      <w:r>
        <w:t>Il résulte de ce qui précède que l’appel doit être admis, la décision du 21 janvier 2014 annulée et le dossier de la cause renvoyé à l’autorité inférieure afin que, constatant l’échec de la conciliation, elle délivre l’autorisation de procéder (art. 209 CPC). En vertu de l’art. 107 al. 2 CPC, les frais judiciaires qui ne sont pas imputables aux parties ni aux tiers peuvent être mis à la charge du canton si l’équité l’exige. Il se justifie de faire application de cette disposition en l’espèce, où la décision attaquée doit être annulée parce que l’autorité inférieure s’est considérée à tort compétente pour rendre une décision. Par conséquent, les frais judiciaires de deuxième instance (art. 106 al. 1 CPC), qui doivent être arrêtés à 100 fr. (art. 62 al. 1 et 3 et 69 al. 1 TFJC [tarif du 28 septembre 2010 des frais judiciaires civils; RSV 270.11.5]), seront laissés à la charge de l’Etat (CACI 10 septembre 2013/461 c. 3b). Les intimés ayant conclu au rejet de l’appel, ils verseront à l’appelant la somme de 200 fr. à titre de dépens de deuxième instance (art. 12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