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324 vom 4. Mai 2014</w:t>
      </w:r>
    </w:p>
    <w:p>
      <w:r>
        <w:t>VD Tribunal cantonal, 2014-05-04, FR</w:t>
      </w:r>
    </w:p>
    <w:p>
      <w:r>
        <w:rPr>
          <w:b/>
        </w:rPr>
        <w:t xml:space="preserve">Quelle: </w:t>
      </w:r>
      <w:r>
        <w:t>https://mcp.opencaselaw.ch/entscheid/vd_findinfo_HC___2014___324</w:t>
      </w:r>
    </w:p>
    <w:p>
      <w:r>
        <w:t>FR: VD_FINDINFO HC / 2014 / 324 du 4 mai 2014</w:t>
      </w:r>
    </w:p>
    <w:p>
      <w:r>
        <w:t>IT: VD_FINDINFO HC / 2014 / 324 del 4 maggio 2014</w:t>
      </w:r>
    </w:p>
    <w:p>
      <w:pPr>
        <w:pStyle w:val="Heading2"/>
      </w:pPr>
      <w:r>
        <w:t>Regeste</w:t>
      </w:r>
    </w:p>
    <w:p>
      <w:r>
        <w:t>DÉCISION SUR FRAIS | 105 al. 1 CPC (CH), 109 al. 1 CPC (CH), 241 al. 2 CPC (CH), 241 al. 3 CPC (CH)</w:t>
      </w:r>
    </w:p>
    <w:p>
      <w:pPr>
        <w:pStyle w:val="Heading2"/>
      </w:pPr>
      <w:r>
        <w:t>Erwägungen</w:t>
      </w:r>
    </w:p>
    <w:p>
      <w:r>
        <w:rPr>
          <w:b/>
        </w:rPr>
        <w:t>E. 4</w:t>
      </w:r>
    </w:p>
    <w:p>
      <w:r>
        <w:t>Me Damien Hottelier, conseil d’office de l’appelante, doit être rémunéré équitablement pour ses opérations et débours dans la procédure d’appel (art. 122 al. 1 let. a CPC). Selon sa liste d'opérations du 1 er mai 2014, il a consacré 11,49 heures au dossier de deuxième instance et facturé 219 fr. 50 de débours, qu’il convient de réduire à 9,5 heures et 35 fr. 20. En effet, les montants annoncés sous rubriques « Débours forfaitaires audience » (110 fr.) et « Trajet aller-retour Monthey-Lausanne » (74 fr. 30) ainsi que les huit dixièmes d’heure facturés pour le « Trajet Monthey-Lausanne » sont inclus dans l’indemnité de 120 fr. allouée à titre de vacation (CREC 26 octobre 2012/382). Il s'ensuit qu’au tarif horaire de 180 fr. pour l’avocat (art. 2 RAJ [règlement sur l’assistance judiciaire en matière civile du 7 décembre 2010 ; RSV 211.02.03]), l’indemnité d’office de Me Damien Hottelier doit être arrêtée à 2'005 fr., selon le décompte suivant : 1'710 fr. d’honoraires (9,5 X 180 fr.), 120 fr. pour la vacation, 35 fr. 20 de débours et la TVA sur le tout par 139 fr. 60. La bénéficiaire de l'assistance judiciaire est, dans la mesure de l'art. 123 CPC, tenue au remboursement des frais judiciaires et de l'indemnité au conseil d'office mis à la charge de l'Etat.</w:t>
      </w:r>
    </w:p>
    <w:p>
      <w:r>
        <w:rPr>
          <w:b/>
        </w:rPr>
        <w:t>E. 5</w:t>
      </w:r>
    </w:p>
    <w:p>
      <w:r>
        <w:t>Il n’y a pas lieu d’allouer de dépens de deuxième instance (art. 109 al. 1 CPC), les parties y ayant expressément renoncé au chiffre VII de la transaction. Par ces motifs, le Juge délégué de la Cour d'appel civile du Tribunal cantonal, statuant à huis clos, prononce : I. Les frais judiciaires de deuxième instance de l’appelante A.Q.________, arrêtés à 400 fr. (quatre cents francs), sont laissés à la charge de l’Etat. II. L'indemnité d'office de Me Damien Hottelier, conseil de l'appelante A.Q.________ est arrêtée à 2'005 fr. (deux mille cinq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Damien Hottelier (pour A.Q.________), ‑ Me Jean-Claude Mathey (pour B.Q.________).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