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311 vom 31. März 2014</w:t>
      </w:r>
    </w:p>
    <w:p>
      <w:r>
        <w:t>VD Tribunal cantonal, 2014-03-31, FR</w:t>
      </w:r>
    </w:p>
    <w:p>
      <w:r>
        <w:rPr>
          <w:b/>
        </w:rPr>
        <w:t xml:space="preserve">Quelle: </w:t>
      </w:r>
      <w:r>
        <w:t>https://mcp.opencaselaw.ch/entscheid/vd_findinfo_HC___2014___311</w:t>
      </w:r>
    </w:p>
    <w:p>
      <w:r>
        <w:t>FR: VD_FINDINFO HC / 2014 / 311 du 31 mars 2014</w:t>
      </w:r>
    </w:p>
    <w:p>
      <w:r>
        <w:t>IT: VD_FINDINFO HC / 2014 / 311 del 31 marzo 2014</w:t>
      </w:r>
    </w:p>
    <w:p>
      <w:pPr>
        <w:pStyle w:val="Heading2"/>
      </w:pPr>
      <w:r>
        <w:t>Regeste</w:t>
      </w:r>
    </w:p>
    <w:p>
      <w:r>
        <w:t>RECTIFICATION DE LA DÉCISION | 334 al. 1 CPC (CH), 334 al. 2 CPC (CH)</w:t>
      </w:r>
    </w:p>
    <w:p>
      <w:pPr>
        <w:pStyle w:val="Heading2"/>
      </w:pPr>
      <w:r>
        <w:t>Volltext</w:t>
      </w:r>
    </w:p>
    <w:p>
      <w:r>
        <w:t>Vaud Tribunal cantonal Cour d'appel civile 29.04.2014 HC / 2014 / 311</w:t>
      </w:r>
    </w:p>
    <w:p>
      <w:r>
        <w:t>RECTIFICATION DE LA DÉCISION | 334 al. 1 CPC (CH), 334 al. 2 CPC (CH)</w:t>
      </w:r>
    </w:p>
    <w:p>
      <w:r>
        <w:t>TRIBUNAL CANTONAL JL13.052540-140245-TPO 218 cour d’appel CIVILE _____________________________ Prononcé rectificatif du 29 avril 2014 __________________ Présidence de               M. Colombini , président Juges :              MM. Battistolo et Abrecht Greffière :              Mme Meier ***** Art. 334 al. 1 et 2 CPC Statuant à huit clos sur la demande de rectification formée le 25 avril 2014 par R.________ à l’encontre de l’arrêt de la Cour civile du Tribunal cantonal du 31 mars 2014, dont la motivation a été notifiée aux parties le 15 avril 2014, dans la cause divisant R.________ , à [...], d’avec X.________ et L.________ , à [...], la Cour d’appel civile du Tribunal cantonal voit : En fait et en droit : 1. Par arrêt du 31 mars 2014, statuant sur l’appel de R.________ contre l’ordonnance rendue le 30 janvier 2014 par le Juge de paix du district du Gros-de-Vaud dans la cause divisant l’appelante d’avec les intimés X.________ et L.________, la Cour d’appel civile du Tribunal cantonal a admis l’appel de R.________ (I), statué à nouveau sur sa requête d’expulsion du 2 décembre 2013 (II) en ce sens que celle-ci est admise (II/I), ordonné à  X.________ et à L.________ de rendre libres les locaux loués à la [...] à [...] dans le délai qui leur serait imparti par le Juge de paix du district du Gros-de-Vaud (II/II), dit qu’à défaut de quitter volontairement ces locaux, ils y seraient contraints par la force (II/III), fixé les frais judiciaires à 300 fr. et mis ceux-ci à la charge des locataires solidairement entre eux (II/IV), condamné X.________ et L.________, solidairement entre eux, à verser à la requérante R.________ la somme de 900 fr. à titre de dépens (II/V), renvoyé la cause au Juge de paix du district du Gros-de-Vaud pour qu’il fixe à X.________ et à L.________ un délai pour libérer les locaux (III) et statué sur les frais judiciaires et dépens de deuxième instance (IV et V). Le dispositif de l’arrêt précité a été notifié aux parties le 2 avril 2014 et l’arrêt motivé le 15 avril 2014. Par courrier du 25 avril 2014, l’appelante a formé une demande de rectification de l’arrêt motivé en ce sens que les chiffres II/IV et II/V qui figuraient dans le dispositif notifié aux parties le 2 avril 2014 soient ajoutés à l’arrêt motivé. 2. Il appert en effet que par inadvertance, les chiffres II/IV et II/V du dispositif n’ont pas été retranscrits dans l’arrêt motivé. Selon l’art. 334 al. 1 CPC (Code de procédure civile du 19 décembre 2008, RS 272),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d’ajouter au chiffre II du dispositif de l’arrêt motivé du 31 mars 2014, notifié aux parties le 15 avril 2014, les chiffres II/IV et II/V de dispositif de l’arrêt du 31 mars 2014. Conformément à l’art. 107 al. 2 CPC, le présent arrêt doit être rendu sans frais judiciaires dès lors que ceux-ci ne sont pas imputables aux parties. Par ces motifs, la Cour d’appel civile du Tribunal cantonal, statuant à huis clos, prononce : I. Le chiffre II du dispositif de l’arrêt motivé du 31 mars 2014, notifié aux parties le 15 avril 2014, est complété comme suit : IV. fixe les frais judiciaires à 300 fr. (trois cents francs) et les met à la charge des locataires, solidairement entre eux ; V. dit que les intimés X.________ et L.________, solidairement entre eux, doivent verser à la requérante R.________ la somme de 900 fr. (neuf cents francs) à titre de dépens et de remboursement de l’avance de frais. II. Le prononcé est rendu sans frais. Le président :               La greffière : Du L'arrêt qui précède, dont la rédaction a été approuvée à huis clos, est notifié en expédition complète, par l'envoi de photocopies, à : ‑ Me Jean-Luc Veuthey (pour R.________), ‑ L.________ et X.________.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