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309 vom 15. April 2014</w:t>
      </w:r>
    </w:p>
    <w:p>
      <w:r>
        <w:t>VD Tribunal cantonal, 2014-04-15, FR</w:t>
      </w:r>
    </w:p>
    <w:p>
      <w:r>
        <w:rPr>
          <w:b/>
        </w:rPr>
        <w:t xml:space="preserve">Quelle: </w:t>
      </w:r>
      <w:r>
        <w:t>https://mcp.opencaselaw.ch/entscheid/vd_findinfo_HC___2014___309</w:t>
      </w:r>
    </w:p>
    <w:p>
      <w:r>
        <w:t>FR: VD_FINDINFO HC / 2014 / 309 du 15 avril 2014</w:t>
      </w:r>
    </w:p>
    <w:p>
      <w:r>
        <w:t>IT: VD_FINDINFO HC / 2014 / 309 del 15 aprile 2014</w:t>
      </w:r>
    </w:p>
    <w:p>
      <w:pPr>
        <w:pStyle w:val="Heading2"/>
      </w:pPr>
      <w:r>
        <w:t>Regeste</w:t>
      </w:r>
    </w:p>
    <w:p>
      <w:r>
        <w:t>DÉCISION D'IRRECEVABILITÉ, DÉLAI POUR INTENTER ACTION, UNITÉ DE LA PROCÉDURE, CODE DE PROCÉDURE CIVILE SUISSE, BAIL À LOYER, RÉSILIATION | 273 al. 5 CO, 274f al. 1 CO, 274f CO, 404 al. 1 CPC (CH), 404 CPC (CH)</w:t>
      </w:r>
    </w:p>
    <w:p>
      <w:pPr>
        <w:pStyle w:val="Heading2"/>
      </w:pPr>
      <w:r>
        <w:t>Erwägungen</w:t>
      </w:r>
    </w:p>
    <w:p>
      <w:r>
        <w:rPr>
          <w:b/>
        </w:rPr>
        <w:t>E. 1</w:t>
      </w:r>
    </w:p>
    <w:p>
      <w:r>
        <w:t>a) Le recours de l'art. 319 let. a CPC est ouvert notamment contre les décisions finales de première instance qui ne peuvent pas faire l'objet d'un appel, soit en particulier lorsque la valeur litigieuse est inférieure à 10'000 francs (art. 308 al. 2 CPC a contrario). Est finale la décision d'irrecevabilité qui met fin au procès (art. 236 al. 1 CPC) notamment pour des raisons de forme (cf Zürcher, Kommentar zur Schweizerischen Zivilprozessordnung, Sutter-Somm/Hasenböhler/Leuenberger, 2010 [ci-après : ZPO Kommentar], nn. 59 ss ad art. 59 CPC, pp. 433-434). En l'espèce, la demande litigieuse porte sur un montant total inférieur à 10'000 fr. en capital, de sorte que c'est la voie du recours de l'art. 319 let. a CPC qui est ouverte. b) Déposé en temps utile par une partie qui y a un intérêt et respectant les autres exigences formelles (art. 321 al. 1 CPC), le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La production de pièces nouvelles est prohibée, de même que les allégations nouvelles (art. 326 al. 1 CPC). En l'espèce, les pièces produites par la recourante, dans la mesure où elles ne figurent pas déjà au dossier de première instance, sont irrecevables.</w:t>
      </w:r>
    </w:p>
    <w:p>
      <w:r>
        <w:rPr>
          <w:b/>
        </w:rPr>
        <w:t>E. 3</w:t>
      </w:r>
    </w:p>
    <w:p>
      <w:r>
        <w:t>a) La recourante se plaint de violation du droit. Elle invoque la violation de l'art. 404 al. 1 CPC en lien avec le principe de la bonne foi et le caractère arbitraire de la décision d'irrecevabilité attaquée. Reprenant la cause depuis l'origine, elle soutient que le déroulement de la procédure en particulier devant la Commission de conciliation, mais aussi devant le Tribunal des baux, doit avoir pour effet que les deux causes soient traitées au cours de la même procédure. b) Le premier juge a estimé que l'instance relative aux places de parc et au garage ayant été ouverte en 2010 et celle relative au local commercial l'ayant été en 2012, la première devait rester soumise à l'ancien droit de procédure cantonal, ainsi qu'aux règles de droit formel prévues par l'ancien art. 273 al. 4 et 5 CO et les anciens art. 274 ss CO, en application de l'art. 404 al. 1 CPC, alors que la seconde devait être soumise au nouveau droit de procédure fédéral, en application a contrario de l'art. 404 al. 1 CPC. Il n'y avait donc pas lieu à jonction, mais bien à disjonction, comme ordonné le 18 avril 2013. Sur cette base, le premier juge a considéré que la Commission de conciliation avait statué sur les conclusions relatives aux places de parc et au garage par décision du 21 novembre 2012, en application de l'ancien droit, qui s'appliquait au délai d'introduction de la procédure devant le Tribunal des baux (anciens art. 273 al. 4 et 5 et 274f al. 1 CO). Il en résulte que les conclusions de la recourante en annulation du congé relatives aux places de parc et au garage sont, selon les considérants du premier juge, manifestement tardives et, partant, irrecevables. c) Lorsque l'autorité de conciliation, dans une procédure de conciliation en matière de bail déjà pendante avant l'entrée en vigueur du CPC, a statué après celle-ci sur la validité de la résiliation et la prolongation du bail, le délai pour saisir le tribunal se détermine selon l'ancien droit (ATF 138 III 792 c. 2). Contrairement à l'état de fait dont le Tribunal fédéral était saisi dans l'arrêt précité, où seule une requête de conciliation avait été déposée, le traitement de celle-ci s'étant étendu au-delà de l'entrée en vigueur du CPC, et où la seule question litigieuse était donc de savoir s'il fallait considérer que la fin de la seule procédure de conciliation en cours valait clôture de l'instance au sens de l'art. 404 al. 1 CPC, la situation est différente en l'espèce. En effet, deux requêtes de conciliation ont été déposées, l'une sous l'empire de l'ancien droit de procédure, l'autre sous le nouveau. Contrairement à ce que soutient la recourante, la première requête (relative à la résiliation des baux pour les places de parc et le garage) ne concernait pas qu'un accessoire du bail commercial, objet de la seconde requête. Comme la jurisprudence l'a retenu, dans des cas de ce type, l'existence de contrats séparés donne aux différents baux une destinée juridique distincte et des possibilités de résiliations séparées (ATF 125 III 231, JT 2000 I 194). Cela étant, pour favoriser des discussions entre parties, la cause a été suspendue de manière globale pendant deux ans, puis reprise. Même si la recourante soutient que les parties ont durant la première partie de l'année 2012 eu plusieurs échanges d'écritures au sujet d'une éventuelle jonction des causes, les pièces produites à cet égard sont irrecevables et ne permettent pas de le retenir. Quoi qu'il en soit, il est établi que les parties ont été convoquées à une seule et même audience destinée à trancher le sort des deux requêtes de conciliation. Si cette audience a eu lieu selon les règles du nouveau droit et que les deux requêtes ont été traitées conjointement, elles ont par la suite fait l'objet de deux décisions distinctes, contrairement à ce que voudrait faire croire la recourante. En effet, s'agissant de la requête relative au local commercial référencée sous [...]86, la Commission a constaté que la conciliation n'avait pas abouti et elle a soumis aux parties le 21 novembre 2012 une proposition de jugement rendue conformément à l'art. 210 CPC. Dans ce cas, elle a fait application du nouveau droit de procédure. Les parties ayant toutes deux fait opposition à cette proposition de jugement, la Commission leur a délivré dans ce dossier une autorisation de procéder du 13 décembre 2012. L'autre requête concernant les places de parc et le garage, référencée sous [...]45, a été traitée dans un procès-verbal de décision, également daté du 21 novembre 2012. Il y est aussi constaté que la conciliation a échoué, mais il est précisé que s'agissant de la conclusion en nullité et en annulation de la résiliation du garage et des places de parc, il incombe à la Commission de conciliation de rendre une décision en application de l'ancien art. 273 al. 4 CO, ce que cette autorité a fait dans cette même décision. On ne peut donc que constater que dans ce cas, ce sont les règles de droit formel prévues par l'ancien droit de fond qui sont appliquées. A réception de ce procès-verbal de décision, il appartenait à la recourante d'agir dans les trente jours, conformément à ce que prévoyait l'art. 273 al. 5 aCO, à défaut de quoi la décision de la Commission devenait définitive. Ce délai pour ouvrir action a d'ailleurs été clairement mentionné au pied du procès-verbal de décision du 21 novembre 2012. Cela a néanmoins échappé à la recourante, qui essaie au stade du recours de construire son raisonnement sur une prétendue volonté de la Commission, puis du Tribunal des baux, de traiter les deux causes conjointement selon le nouveau droit. En particulier, la Commission de conciliation n'a laissé planer aucun doute et ses décisions étaient claires et distinctes. Les moyens développés à ce sujet par la recourante sont donc mal fondés et la décision d'irrecevabilité attaquée ne viole ni l'art. 404 al. 1 CPC ni les dispositions relatives à la protection de la bonne foi. Au vu de ce qui précède, il n'y a pas lieu d'examiner plus amplement le moyen tiré de l'arbitraire.</w:t>
      </w:r>
    </w:p>
    <w:p>
      <w:r>
        <w:rPr>
          <w:b/>
        </w:rPr>
        <w:t>E. 4</w:t>
      </w:r>
    </w:p>
    <w:p>
      <w:r>
        <w:t>En définitive, le recours doit être rejeté et la décision attaquée confirmée. Les frais de deuxième instance, arrêtés à 200 fr. (art. 69 al. 1 TFJC [tarif des frais judiciaires civils du 28 septembre 2010, RSV 270.11.5]), sont mis à la charge de la recourante, qui succombe (art. 106 al. 1 CPC). La recourante doit verser des dépens à l'intimée, par 880 fr., TVA et débours compris (art. 8 TDC [tarif des dépens en matière civile du 23 novembre 2010, RSV 270.11.6]). Par ces motifs, la Chambre des recours civile du Tribunal cantonal, statuant à huis clos, prononce : I.              Le recours est rejeté. II.              La décision attaquée est confirmée. III. Les frais judiciaires de deuxième instance, arrêtés à 200 fr. (deux cents francs), sont mis à la charge de la recourante K.________. IV. La recourante K.________ doit à l’intimée W.________AG, la somme de 880 fr. (huit cent huitante francs), TVA et débours compris, à titre de dépens de deuxième instance. V. L’arrêt motivé est exécutoire. Le président :               La greffière : Du 16 avril 2014 Le dispositif de l'arrêt qui précède est communiqué par écrit aux intéressés. La greffière : Du L'arrêt qui précède, dont la rédaction a été approuvée à huis clos, est notifié en expédition complète, par l'envoi de photocopies, à : ‑ Me François Roux (pour K.________), ‑ Me Paul Marville (pour W.________AG).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