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305 vom 10. April 2014</w:t>
      </w:r>
    </w:p>
    <w:p>
      <w:r>
        <w:t>VD Tribunal cantonal, 2014-04-10, FR</w:t>
      </w:r>
    </w:p>
    <w:p>
      <w:r>
        <w:rPr>
          <w:b/>
        </w:rPr>
        <w:t xml:space="preserve">Quelle: </w:t>
      </w:r>
      <w:r>
        <w:t>https://mcp.opencaselaw.ch/entscheid/vd_findinfo_HC___2014___305</w:t>
      </w:r>
    </w:p>
    <w:p>
      <w:r>
        <w:t>FR: VD_FINDINFO HC / 2014 / 305 du 10 avril 2014</w:t>
      </w:r>
    </w:p>
    <w:p>
      <w:r>
        <w:t>IT: VD_FINDINFO HC / 2014 / 305 del 10 aprile 2014</w:t>
      </w:r>
    </w:p>
    <w:p>
      <w:pPr>
        <w:pStyle w:val="Heading2"/>
      </w:pPr>
      <w:r>
        <w:t>Regeste</w:t>
      </w:r>
    </w:p>
    <w:p>
      <w:r>
        <w:t>DOMMAGE IRRÉPARABLE, ADMINISTRATION DES PREUVES, DÉCISION, EXPERTISE, DÉCISION D'IRRECEVABILITÉ | 154 CPC (CH), 319 let. b ch. 2 CPC (CH)</w:t>
      </w:r>
    </w:p>
    <w:p>
      <w:pPr>
        <w:pStyle w:val="Heading2"/>
      </w:pPr>
      <w:r>
        <w:t>Volltext</w:t>
      </w:r>
    </w:p>
    <w:p>
      <w:r>
        <w:t>Vaud Tribunal cantonal Chambre des recours civile 10.04.2014 HC / 2014 / 305</w:t>
      </w:r>
    </w:p>
    <w:p>
      <w:r>
        <w:t>DOMMAGE IRRÉPARABLE, ADMINISTRATION DES PREUVES, DÉCISION, EXPERTISE, DÉCISION D'IRRECEVABILITÉ | 154 CPC (CH), 319 let. b ch. 2 CPC (CH)</w:t>
      </w:r>
    </w:p>
    <w:p>
      <w:r>
        <w:t>TRIBUNAL CANTONAL PT13.022385-140511 131 CHAMBRE DES RECOURS CIVILE _________________________________________ Arrêt du 10 avril 2014 _________________ Présidence de               M. Winzap , président Juges :              M. Colelough et Mme Courbat Greffier : M.              Elsig ***** Art. 154, 319 let. b ch. 2 CPC Statuant à huis clos sur le recours interjeté par Etat de Vaud , à Lausanne, contre l’ordonnance de preuves rendue le 4 mars 2014 par le Juge délégué de la Chambre patrimoniale cantonale dans la cause divisant le recourant d’avec A.H.________ , B.H.________ , C.H.________ et D.H.________ , à [...], la Chambre des recours civile du Tribunal cantonal voit : En fait et en droit : 1. Par ordonnance de preuves du 4 mars 2014, le Juge délégué de la Chambre patrimoniale cantonale a notamment nommé André Dubey en qualité d’expert actuaire et l’a chargé de se déterminer sur les allégués n os 155 à 157, 160, 161, 163 et 166 (V) et dit que les frais d’expertise actuarielle seraient avancés par les demandeurs A.H.________, B.H.________, C.H.________ et D.H.________ (VI). Etat de Vaud a recouru contre cette ordonnance le 17 mars 2014 en concluant, avec dépens, principalement à la réforme de ses chiffres V et VI en ce sens que la requête des intimés A.H.________, B.H.________, C.H.________ et D.H.________ tendant à la mise en œuvre d’une expertise fiduciaire est rejetée et, subsidiairement, à son annulation. 2. 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Contrairement aux cas où le recours est expressément prévu par la loi, notamment à l'art. 110 CPC, qui instaure un recours séparé en matière de frais, le Code de procédure civile ne prévoit pas une telle voie contre l'ordonnance de preuves (art. 154 CPC), qui constitue une ordonnance d'instruction (Jeandin, CPC Commenté, 2011, n. 14 ad art. 319, p. 1272). La recevabilité du recours contre un tel acte est donc subordonnée à l'existence d'un préjudice difficilement réparable au regard de l'art. 319 let. b ch. 2 CPC (JT 2011 III 86 c. 3).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voir aussi arrêt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Selon la doctrine et la jurisprudence de la cour de céans les ordonnances de preuves et le refus d'ordonner une preuve doivent en règle générale être contestés dans le cadre du recours ou de l'appel contre la décision finale (Reich, Schweizerische Zivilprozessordnung, Baker/Mc Kenzie Hrsg, 2010, n. 8 ad art. 319 CPC, p. 1176; Brunner, Kurzkommentar ZPO, Oberhammer Hrsg, 2 e éd., 2014, nn. 12 et 13 ad art. 319 CPC, p. 1374 ; CREC 3 septembre 2013/274).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ou encore dans le cas de la mise en œuvre d'une expertise qui pourrait causer un augmentation importante des frais de la procédure (Blickenstorfer, Schweizerische Zivilprozessordnung, Brunner/Gasser/ Schwander Hrsg, 2011, n. 39 ad art. 319 CPC, p. 1815; CREC 27 juin 2012/234). Le recourant soutient que l’expertise en cause est contraire à la loi, dès lors qu’elle porte sur des points de droit. Toutefois, la limite entre le fait et le droit est souvent difficile à tracer. Il est en effet rare que les faits puissent être totalement débarrassés de leurs attaches juridiques. Dans le domaine spécifique du droit de la responsabilité civile, il convient en particulier de clairement distinguer le dommage de la fixation du montant des dommages-intérêts. Le premier correspond à l’évènement objectivement constatable et relève du fait. La seconde appartient au droit et, partant, au juge : elle « exprime l’atteinte aux droits subjectifs patrimoniaux ou extra-patrimoniaux qui appellent une réparation dès lors qu’un tiers en est responsable ». En d’autres termes, une limite doit être tracée entre le constat du dommage et la fixation des dommages-intérêts (Bovey, Le juge face à l’expert, in La preuve en droit de la responsabilité civile – Journée de la responsabilité civile 2010, Chappuis/Winiger éd., 2011, pp. 97-98). Ainsi dans un procès en responsabilité civile, l’expert joue un rôle fondamental dans l’établissement des faits, en particulier en ce qui concerne le calcul du dommage et la détermination de la causalité naturelle (Morin, La responsabilité de l’expert dans un procès civil, in La preuve en droit de la responsabilité civile – Journée de la responsabilité civile 2010, Chappuis/Winiger éd., 2011, p. 54), l’établissement de l’espérance de vie pour la capitalisation des rentes, le taux d’intérêt en vigueur pour cette même capitalisation, etc. En l’espèce, les allégués sur lesquels portent l’expertise litigieuse portent sur le calcul du dommage, de sorte que l’on ne saurait considérer que cette expertise est contraire à la loi. En outre, l’avance des frais de cette expertise a été mise à la charge des intimés et le recourant, s’il succombe, pourra toujours faire valoir que celle-ci était inutile et prétendre à ce que les frais soient mis à la charge des intimés pour cette raison en application de l’art. 108 CPC. Dans ces circonstances, il y a lieu de considérer que la condition du préjudice difficilement réparable n’est pas réalisée, de sorte que le recours est irrecevable. 3. Vu l’irrecevabilité du recours, les frais judiciaires de deuxième instance, fixés à 1'000 fr. (art. 69 et 70 al. 2 TFJC [tarif du 28 septembre 2010 des frais judiciaires civils ; RSV 270.11.5]) doivent être mis à la charge du recourant (art. 106 al. 1 CPC). Par ces motifs, la Chambre des recours civile du Tribunal cantonal, statuant à huis clos, en application de l'art. 322 al. 1 CPC, prononce : I. Le recours est irrecevable. II. Les frais judiciaires de deuxième instance, arrêtés à 1'000 fr. (mille francs), sont mis à la charge du recourant Etat de Vaud. III. L’arrêt est exécutoire. Le président :               Le greffier : Du L'arrêt qui précède, dont la rédaction a été approuvée à huis clos, est notifié à : ‑ Me Odile Pelet (pour Etat de Vaud), ‑ Me Myriam Mazou (pour A.H.________, B.H.________, C.H.________ et D.H.________).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