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290 vom 20. März 2014</w:t>
      </w:r>
    </w:p>
    <w:p>
      <w:r>
        <w:t>VD Tribunal cantonal, 2014-03-20, FR</w:t>
      </w:r>
    </w:p>
    <w:p>
      <w:r>
        <w:rPr>
          <w:b/>
        </w:rPr>
        <w:t xml:space="preserve">Quelle: </w:t>
      </w:r>
      <w:r>
        <w:t>https://mcp.opencaselaw.ch/entscheid/vd_findinfo_HC___2014___290</w:t>
      </w:r>
    </w:p>
    <w:p>
      <w:r>
        <w:t>FR: VD_FINDINFO HC / 2014 / 290 du 20 mars 2014</w:t>
      </w:r>
    </w:p>
    <w:p>
      <w:r>
        <w:t>IT: VD_FINDINFO HC / 2014 / 290 del 20 marzo 2014</w:t>
      </w:r>
    </w:p>
    <w:p>
      <w:pPr>
        <w:pStyle w:val="Heading2"/>
      </w:pPr>
      <w:r>
        <w:t>Regeste</w:t>
      </w:r>
    </w:p>
    <w:p>
      <w:r>
        <w:t>TRANSACTION JUDICIAIRE, DOL{VICE DU CONSENTEMENT}, VICE DU CONSENTEMENT, MESURE PROVISIONNELLE, DROIT DE LA FAMILLE | 176 al. 1 CC, 176 al. 1 ch. 1 CC, 176 CC, 28 al. 1 CO, 28 CO</w:t>
      </w:r>
    </w:p>
    <w:p>
      <w:pPr>
        <w:pStyle w:val="Heading2"/>
      </w:pPr>
      <w:r>
        <w:t>Erwägungen</w:t>
      </w:r>
    </w:p>
    <w:p>
      <w:r>
        <w:rPr>
          <w:b/>
        </w:rPr>
        <w:t>E. 1</w:t>
      </w:r>
    </w:p>
    <w:p>
      <w:r>
        <w:t>a) L'appel étant dirigé contre une convention judiciaire passée entre les parties ratifiée pour valoir ordonnance de mesures provisionnelles, il convient d'examiner en premier lieu si la voie de l'appel est ouverte. Selon l'art. 241 al. 2 CPC (Code de procédure civile du 19 décembre 2008; RS 272), une transaction (judiciaire) a les effets d'une décision entrée en force. Une fois celle-ci consignée au procès-verbal, le tribunal raye la cause du rôle (art. 241 al. 3 CPC). L'admissibilité dans un tel cadre d'un appel ou d'un recours est controversée, au motif que la convention ne constitue pas une décision (Tappy, CPC commenté, Bâle 2011, n. 37 ad art. 241 CPC et les réf. citées). Seule la voie de la révision au sens de l'art. 328 al. 1 let. c CPC serait ainsi ouverte contre une telle transaction. Toutefois, par application analogique de l'art. 279 CPC, une convention de mesures protectrices de l'union conjugale peut être ratifiée par le juge (Tappy, op. cit., n. 49 ad art. 273 CPC), qui rend ainsi une décision. Tappy rejette l'idée qu'une convention ratifiée ne serait pas susceptible d'appel ou de recours, mais seulement de révision, à l'instar d'une transaction judiciaire ordinaire. Il estime que si une partie apprend une cause d'invalidité d'une convention, par exemple un vice de la volonté, après la décision de première instance, mais alors que celle-ci n'est pas encore exécutoire, elle doit faire valoir ce moyen dans le cadre d'un appel. Une révision selon l'art. 328 al. 1 let. c CPC n'entrerait ainsi en considération que si la cause d'invalidité de la convention se révèle seulement après l'entrée en force de la décision de première instance ratifiant la convention (Tappy, op. cit., n. 20 ad art. 289 CPC; cf. aussi Kobel, in Sutter-Somm/Hasenböhler/Leuenberger (éd.), Kommentar zur Schweizerischen Zivilprozessordnung [ci-après: ZPO-Komm.], Zurich Bâle Genève 2010, n. 26 ad art. 279 CPC et Fankhauser, in ZPO-Komm., n. 7 ad art. 289 CPC). Cette opinion est convaincante. En effet, lorsque le juge ratifie une convention, celle-ci perd son caractère purement contractuel. La situation est ainsi différente de celle prévue par l'art. 241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A titre de mesures d'instruction, l'appelante a sollicité l’audition de l’ancien employeur de l’intimé ainsi que la production de décomptes de salaires et de toute pièce de nature à établir la situation financière de l’intimé.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ces deux conditions étant cumulatives (let. b) (Tappy, JT 2010 III 115, pp. 136-137). Il appartient à l'appelante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Bâle 2010, n. 7 ad art. 317 CPC; Reetz/Hilber, in ZPO-Komm.,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e éd., Berne 2010, n. 2410, p. 437 contra la jurisprudence du TF qui a réglé définitivement la question à l'ATF 138 III 625 c. 2.2).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(Hohl, op. cit., n. 2415 p. 438; sur le tout, JT 2011 III 43). c) En l'espèce, l’ancien employeur de l’intimé a été entendu. Par appréciation anticipée des preuves, il n’y a pas lieu de lui demander de produire les fiches de salaires des six derniers mois, celles-ci n'étant pas propres à établir l’existence ou non de vices du consentement qui pourraient invalider la convention, à savoir si l’intimé a continué à travailler pour le compte de la société H.________ Sàrl après le 30 novembre 2013. En outre, si l'appelante entend déterminer les revenus de l’intimé au moyen de ces pièces, cela justifie encore moins qu'on ordonne leur production. En effet, cette question n’est pas nouvelle, n’est pas l’objet du présent appel et constituait un des points douteux qui a été réglé de manière définitive par la convention et qui a déterminé les parties à transiger. Il s’ensuit que les questions financières qui avaient précisément déterminé les parties à transiger ne sauraient être remises en cause (erreur sur le caput controversum ) (ATF 117 II 218; ATF 54 II 188 c. 2; Schmidlin, Commentaire romand, 2 e éd., Bâle 2012, n. 291, 292 et 285 ad art. 23/24 CO, n. 295-296 ad art. 23/24 CO). A cet égard, la convention signée par les parties et ratifiée par le juge prévoit expressément que la pension de 300 fr. était fixée dans l’attente d’une décision de l’Office du chômage sur les indemnités qui seraient versées à B.R.________ ou dans l’attente de la reprise d’un emploi. Pour les mêmes motifs, la production de toute pièce relative à la situation financière de l’intimé, outre que la réquisition n’est pas suffisamment détaillée pour être recevable et qu’il ne s’agit pas de pièces nouvelles (Tappy, JT 2010 III 115, pp. 136-137), doit également être refusée par appréciation anticipée des preuves, dès lors qu'elle ne serait d'aucune utilité pour résoudre le présent litige, qui porte uniquement sur l’existence ou non d’un vice du consentement entachant la signature de la convention de mesures protectrices de l’union conjugale.</w:t>
      </w:r>
    </w:p>
    <w:p>
      <w:r>
        <w:rPr>
          <w:b/>
        </w:rPr>
        <w:t>E. 4</w:t>
      </w:r>
    </w:p>
    <w:p>
      <w:r>
        <w:t>a) L'appelante soutient que la convention de mesures protectrices de l'union conjugale signée le 4 décembre 2013 est entachée d'un vice de consentement au sens des art. 23 ss CO et qu'elle doit par conséquent être invalidée. Elle relève que tant dans sa réponse du 2 décembre 2013 et lors de l’audience du premier juge du 4 décembre 2013, l’intimé a affirmé ne plus travailler pour la société H.________ Sàrl depuis le 30 novembre 2013. Or, depuis lors, ce dernier a été aperçu à plusieurs reprises par sa propre fille sur son lieu de travail habituel et dans ses alentours, en habits de travail. L’appelante considère qu’elle a été induite en erreur et qu’il appartient à l’intimé de verser pour sa fille une contribution d’entretien plus élevée, arrêtée à 600 fr. compte tenu de sa situation financière. Au final, l'appelante estime avoir été victime de dol de la part de l'intimé lors de la signature de la convention litigieuse (art. 28 CO). b) Le dol au sens de l'article 28 CO consiste à induire intentionnellement une personne en erreur, à l'entretenir ou la confirmer dans l'erreur, pour la déterminer à faire une déclaration de volonté, par exemple un acte juridique; il peut être l'affirmation de faits faux ou la dissimulation de faits vrais (ATF 116 II 431 c. 3a, JT 1991 I 45; Engel, Traité des obligations en droit suisse, 2 e éd., Berne 1997, p. 349). C'est au moment de la conclusion du contrat que la victime doit subir l'influence du dol. Ce qui s'est passé avant ou après ne fait plus partie du dol selon l'article 28 CO (Schmidlin, op. cit., n. 2 ad art. 28 CO). Le fardeau de la preuve incombe à la partie qui prétend avoir été induite à contracter par le dol de l'autre (Schmidlin, Berner Kommentar, Berne 2013, n. 171 ad art. 28 CO; Schwenzer, Basler Kommentar, 3 e éd., Bâle 2002, n. 26 ad art. 28 CO). Il n'est pas nécessaire que la tromperie provoque une erreur essentielle; il suffit que sans l'erreur, la personne victime d’un vice du consentement n'eût pas conclu le contrat ou ne l'eût pas conclu aux mêmes conditions (TF 4C.44/2007 c. 3 du 22 juin 2007; ATF 132 II 161 c. 4.1; Schmidlin, Commentaire romand précité, n.</w:t>
      </w:r>
    </w:p>
    <w:p>
      <w:r>
        <w:rPr>
          <w:b/>
        </w:rPr>
        <w:t>E. 5</w:t>
      </w:r>
    </w:p>
    <w:p>
      <w:r>
        <w:t>ad art. 28 CO). La partie victime d’un vice du consentement supporte le fardeau de l’allégation et le fardeau de la preuve de ce vice (art. 8 CC; ATF 97 II 339 c. 1b). c) Dans le domaine des transactions judiciaires et extrajudiciaires, dont font partie les conventions sur les effets accessoires du divorce et par analogie sur les mesures protectrices de l’union conjugale, les art. 23 ss CO s'appliquent avec des restrictions (Schmidlin, op. cit., nn. 281 et 295 ss.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 2; Schmidlin, op. cit., n. 291, 292 et 285 ad art. 23/24 CO).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comme rappelé précédemment, l'erreur portant sur un point qui a précisément fait l'objet de la transaction, c'est-à-dire l'erreur sur l'objet même de la transaction ( caput controversum ) ne peut être invoquée. Même si cette question devait se résoudre par la suite, elle ne saurait conduire à l'annulation de la transaction pour cause d'erreur puisque, précisément, la transaction avait pour but de renoncer à résoudre cette question (ATF 117 II 218 c. 3a; Schmidlin, op. cit., n. 295 et 296 ad art. 23/24 CO). d) En l'espèce, la thèse de l'appelante, selon laquelle l’intimé aurait continué à travailler pour la société H.________ Sàrl au-delà du 30 novembre 2013, n’est pas établie. L’ancien employeur de l’intimé a confirmé par écrit et lors de son audition par la juge déléguée de céans que les rapports de travail avaient pris fin le 29 novembre 2013, respectivement le 30 novembre 2013. Il a également expliqué les raisons pour lesquelles l’intimé s’était rendu par la suite à quelques reprises sur son ancien lieu de travail, soit notamment pour venir chercher des documents nécessaires à son inscription à l’assurance-chômage. L’ancien employeur de l’intimé a déclaré qu’il ne reconnaissait pas le lieu qui figurait sur les photos produites par l’appelante à l’appui de son recours, précisant qu'il ne s’agissait pas de son entreprise. A cet égard, les planches photographiques, dans un premier temps non datées, produites par l’appelante n’emportent pas la conviction de la juge de céans. Certes on y voit l’intimé habillé en ce qui semble être une tenue de travail, qui se rend à l'ancien domicile conjugal et à sa voiture. Cela ne permet toutefois pas de retenir qu’il a continué à travailler chez son ancien employeur au-delà du 30 novembre 2013, comme le soutient l’appelante. Ces photographies ne permettent pas non plus de confirmer les déclarations de la fille des parties, selon lesquelles elle aurait vu son père, en habits de travail, sur son lieu de travail habituel après le 30 novembre 2013. L’intimé s’est par ailleurs inscrit à l’ORP de Payerne le</w:t>
      </w:r>
    </w:p>
    <w:p>
      <w:r>
        <w:rPr>
          <w:b/>
        </w:rPr>
        <w:t>E. 9</w:t>
      </w:r>
    </w:p>
    <w:p>
      <w:r>
        <w:t>décembre 2013. Le dol invoqué par l'appelante est ainsi inexistant. Celle-ci doit dès lors supporter l’échec du fardeau de la preuve portant sur l’existence de ce vice (art. 8 CC; ATF 97 II 339 c. 1b). 5. a) Au vu de ce qui précède, l'appel doit être rejeté et l'ordonnance ratifiant la convention de mesures protectrices de l'union conjugale confirmée. b) L'assistance judiciaire ayant été accordée à l'appelante, les frais judiciaires de deuxième instance, arrêtés à 928 fr. 30 (600 fr. + 137 fr. 30 (interprète) + 191 fr. (témoin)) pour l’appelante, sont laissés à la charge de l'Etat. L'appelante, qui succombe pour l’essentiel, doit verser des dépens, fixés à 2’000 fr., à l'intimé. c) Les conseils d’office de l’appelante et de l’intimé seront rémunérés équitablement par l’Etat (art. 122 al. 1 let. a et d et al. 2 CPC). Sur le vu de la liste des opérations et débours produite, Me Christian Delaloye, conseil d’office de l’appelante, a droit à une indemnité de 1'453 fr. 30. Quant à Me Jeton Kryeziu, conseil d’office de l’intimé, il a droit à une indemnité de 1'898 fr. 35, conformément à la liste des opérations et débours produite. Les bénéficiaires de l’assistance judiciaire sont tenus, dans la mesure de l’art. 123 CPC, au remboursement des frais judiciaires et de l’indemnité à leur conseil d’office mis à la charge de l’Etat. Par ces motifs, la juge déléguée de la Cour d’appel civile du Tribunal cantonal, statuant à huis clos, prononce : I. L’appel de A.R.________ est rejeté. II. L’appel joint de B.R.________ est irrecevable. III. L’ordonnance est confirmée. IV. Les frais judiciaires de deuxième instance, arrêtés à 928 fr. 30 (neuf cent vingt-huit francs et trente centimes) pour l’appelante, sont laissés à la charge de l’Etat. V. L’indemnité d’office de Me Christian Delaloye, conseil de l’appelante A.R.________ est arrêtée à 1'453 fr. 30 (mille quatre cent cinquante-trois francs et trente centimes), TVA et débours compris. VI. L’indemnité d’office de Me Jeton Kryeziu, conseil de l’intimé B.R.________, est arrêtée à 1'898 fr. 35 (mille huit cent nonante-huit francs et trente-cinq centimes), TVA et débours compris. VII. Les bénéficiaires de l’assistance judiciaire sont tenus, dans la mesure de l’art. 123 CPC, au remboursement des frais judiciaires et de l’indemnité du conseil d’office mis à la charge de l’Etat. VIII. L’appelante A.R.________ doit verser à l’intimé B.R.________ la somme de 2'000 fr. (deux mille francs) à titre de dépens de deuxième instance. IX. L’arrêt motivé est exécutoire. La juge déléguée : La greffière : Du 2 avril 2014 Le dispositif de l'arrêt qui précède est communiqué par écrit aux intéressés. La greffière : Du L'arrêt qui précède, dont la rédaction a été approuvée à huis clos, est notifié en expédition complète, par l'envoi de photocopies à : ‑ Me Christian Delaloye (pour A.R.________), ‑ Me Jeton Kryeziu (pour B.R.________).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