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285 vom 17. April 2014</w:t>
      </w:r>
    </w:p>
    <w:p>
      <w:r>
        <w:t>VD Tribunal cantonal, 2014-04-17, FR</w:t>
      </w:r>
    </w:p>
    <w:p>
      <w:r>
        <w:rPr>
          <w:b/>
        </w:rPr>
        <w:t xml:space="preserve">Quelle: </w:t>
      </w:r>
      <w:r>
        <w:t>https://mcp.opencaselaw.ch/entscheid/vd_findinfo_HC___2014___285</w:t>
      </w:r>
    </w:p>
    <w:p>
      <w:r>
        <w:t>FR: VD_FINDINFO HC / 2014 / 285 du 17 avril 2014</w:t>
      </w:r>
    </w:p>
    <w:p>
      <w:r>
        <w:t>IT: VD_FINDINFO HC / 2014 / 285 del 17 aprile 2014</w:t>
      </w:r>
    </w:p>
    <w:p>
      <w:pPr>
        <w:pStyle w:val="Heading2"/>
      </w:pPr>
      <w:r>
        <w:t>Regeste</w:t>
      </w:r>
    </w:p>
    <w:p>
      <w:r>
        <w:t>MESURE DE CONTRAINTE{DROIT DES ÉTRANGERS}, DÉTENTION AUX FINS D'EXPULSION | 76 al. 1 let. b ch. 3 LEtr, 76 al. 1 let. b ch. 4 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L'autorité de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Le recourant fait valoir que le laissez-passer du 5 décembre 2013 n’était valable que du 2 janvier au 31 mars 2014, si bien que les démarches nécessaires à l’exécution de son renvoi ne sont plus possibles. Aux termes de l’art. 10 al. 1 let. b OERE (ordonnance sur l’exécution du renvoi et de l’expulsion d’étrangers du 11 août 1999 ; RS 142.281), l’ODM suspend l’aide à exécution des renvois ou des expulsions aussi longtemps que les cantons ne fournissent pas l’entraide administrative requise. Selon le ch. 2.4 de la Directive III (Domaine de l’asile) de l’ODM (ci-après : Directive), le renvoi doit être exécuté dès l’obtention d’un document de voyage, l’étranger ne pouvant prétendre à être refoulé dans le pays de son choix (art. 69 LEtr [loi fédérale du 16 décembre 2005 sur les étrangers ; RS 142.20]). En l’espèce, il apparaît que les autorités cantonales se sont conformées à l’ordonnance et à la directive précitées, puisqu’elles ont organisé le vol de retour pour le 13 mars 2014, soit dans le délai imparti par l’ODM dans son courrier du 18 décembre 2013. Le recourant ayant refusé d’embarquer, le SPOP est dans l’attente du renouvellement du laissez-passer par l’Ambassade de Guinée-Bissau et de la fixation d’un vol de retour spécial par l’ODM. Partant, en l’absence d’une décision de l’ODM refusant, suspendant ou mettant fin à l’exécution du renvoi (voir Directive ch. 2.4), le moyen du recourant est mal fondé.</w:t>
      </w:r>
    </w:p>
    <w:p>
      <w:r>
        <w:rPr>
          <w:b/>
        </w:rPr>
        <w:t>E. 4</w:t>
      </w:r>
    </w:p>
    <w:p>
      <w:r>
        <w:t>Le recourant soutient que le fait de ne pas avoir donné suite à un ordre de départ et d’avoir séjourné illégalement en Suisse ne suffit pas pour admettre qu’il veut se soustraire au refoulement, dès lors qu’il ne refuse pas de quitter la Suisse, mais demande à être renvoyé en Italie ou au Portugal.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En l’espèce, le recourant n’a pas donné suite à l’ordre de quitter la Suisse après l’entrée en force de la décision de l’ODM du 26 août 2011, bien qu’il ait été averti qu’il ferait l’objet de mesures de contrainte s’il ne le faisait pas. Il a disparu entre le 11 mars et le 11 juin 2013. Il a déclaré successivement au SPOP, à la police l’ayant conduit au vol de retour et à la Juge de paix du district de Lausanne qu’il ne retournerait pas dans son pays d’origine. Il n’a pas d’attaches familiales en Suisse, ce qui rend plus facile la soustraction au renvoi par le passage à la clandestinité. Enfin, il se déclare prêt à être renvoyé en Italie ou au Portugal, alors qu’il ne dispose d’aucun titre de séjour de ces pays. L’ensemble de ces éléments constitue un faisceau d’indices faisant apparaître que le recourant entend se soustraire à son renvoi, de sorte que sa détention administrative est fondée.</w:t>
      </w:r>
    </w:p>
    <w:p>
      <w:r>
        <w:rPr>
          <w:b/>
        </w:rPr>
        <w:t>E. 5</w:t>
      </w:r>
    </w:p>
    <w:p>
      <w:r>
        <w:t>Le recourant fait valoir de graves problèmes d’hypertension artérielle, la détention administrative ayant un impact négatif sur sa santé. Il requiert la production de deux pièces, à savoir le rapport médical sur les conditions de sa détention, son état de santé et la compatibilité de celui-ci avec la détention, en mains du service médical de l’Etablissement de Frambois (pièce 51), ainsi que le rapport médical sur son état de santé, en mains du service médical de La Croisée (pièce 52). L’état de santé du recourant, allégué pour la première fois en procédure de recours, n’est étayé par aucun élément au dossier. Il ne constitue donc un obstacle ni à l’exécution du renvoi, ni par conséquent à sa détention à Frambois, établissement concordataire spécialement affecté à la détention administrative, dans lequel il se trouve actuellement et où il peut, le cas échéant, bénéficier d’une prise en charge médicale. Partant, il n’y a pas lieu de donner suite à sa réquisition de production de pièces.</w:t>
      </w:r>
    </w:p>
    <w:p>
      <w:r>
        <w:rPr>
          <w:b/>
        </w:rPr>
        <w:t>E. 6</w:t>
      </w:r>
    </w:p>
    <w:p>
      <w:r>
        <w:t>Enfin, il apparaît que la mesure de contrainte respecte le principe de la proportionnalité, dès lors que, le 17 mars 2014, le SPOP a requis l’ODM d’inscrire le recourant pour un vol spécial à destination de son pays d’origine.</w:t>
      </w:r>
    </w:p>
    <w:p>
      <w:r>
        <w:rPr>
          <w:b/>
        </w:rPr>
        <w:t>E. 7</w:t>
      </w:r>
    </w:p>
    <w:p>
      <w:r>
        <w:t>Au vu de ce qui précède, le recours doit être rejeté et l’ordonnance entreprise confirmée, sans frais judiciaires. L’indemnité d’office de Me Stéphane Ducret (art. 25 LVLEtr), qui a annoncé huit heures de travail sans débours, est fixée à 1’360 fr. 80, correspondant à 7 heures de travail, compte tenu des opérations indiquées, y compris les vacations à Vernier. Par ces motifs, la Chambre des recours civile du Tribunal cantonal, statuant à huis clos, prononce : I. Le recours est rejeté. II. L’ordonnance est confirmée. III. L’arrêt est rendu sans frais judiciaires. IV. L’indemnité de Me Stéphane Ducret, conseil d’office du recourant, est arrêtée à 1'360 fr. 80 (mille trois cent soixante francs et huitante centimes), TVA comprise. V. L'arrêt motivé est exécutoire. Le président :               La greffière : Du 22 avril 2014 Le dispositif de l'arrêt qui précède est communiqué par écrit aux intéressés. La greffière : Du L'arrêt qui précède, dont la rédaction a été approuvée à huis clos, est notifié en expédition complète, par l'envoi de photocopies, à : ‑ Me Stéphane Ducret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