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277 vom 28. März 2014</w:t>
      </w:r>
    </w:p>
    <w:p>
      <w:r>
        <w:t>VD Tribunal cantonal, 2014-03-28, FR</w:t>
      </w:r>
    </w:p>
    <w:p>
      <w:r>
        <w:rPr>
          <w:b/>
        </w:rPr>
        <w:t xml:space="preserve">Quelle: </w:t>
      </w:r>
      <w:r>
        <w:t>https://mcp.opencaselaw.ch/entscheid/vd_findinfo_HC___2014___277</w:t>
      </w:r>
    </w:p>
    <w:p>
      <w:r>
        <w:t>FR: VD_FINDINFO HC / 2014 / 277 du 28 mars 2014</w:t>
      </w:r>
    </w:p>
    <w:p>
      <w:r>
        <w:t>IT: VD_FINDINFO HC / 2014 / 277 del 28 marzo 2014</w:t>
      </w:r>
    </w:p>
    <w:p>
      <w:pPr>
        <w:pStyle w:val="Heading2"/>
      </w:pPr>
      <w:r>
        <w:t>Regeste</w:t>
      </w:r>
    </w:p>
    <w:p>
      <w:r>
        <w:t>OBLIGATION D'ENTRETIEN, PROTECTION DE L'UNION CONJUGALE, RÉVISION{DÉCISION} | 328 al. 1 let. a CPC (CH), 330 CPC (CH)</w:t>
      </w:r>
    </w:p>
    <w:p>
      <w:pPr>
        <w:pStyle w:val="Heading2"/>
      </w:pPr>
      <w:r>
        <w:t>Erwägungen</w:t>
      </w:r>
    </w:p>
    <w:p>
      <w:r>
        <w:rPr>
          <w:b/>
        </w:rPr>
        <w:t>E. 1</w:t>
      </w:r>
    </w:p>
    <w:p>
      <w:r>
        <w:t>Aux termes de l'art. 328 al. 1 CPC (Code de procédure civile suisse du 19 décembre 2008 ; RS 272),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CPC commenté, Bâle 2011, n. 12 ad art. 328 CPC et n. 5 ad art. 331 CPC), à savoir le Juge délégué de la Cour d'appel civile (art. 43 al. 1 let. a CDPJ [Code de droit privé judiciaire vaudois du 12 janvier 2010 ; RSV 211.02] par analogie). Le délai pour demander la révision est de 90 jours à compter de celui où le motif de révision est découvert ; la demande est écrite et motivée (art. 329 al. 1 CPC). En l'espèce, le requérant a agi en temps utile dans le délai péremptoire prévu à cet effet, de sorte que sa requête en révision est recevable.</w:t>
      </w:r>
    </w:p>
    <w:p>
      <w:r>
        <w:rPr>
          <w:b/>
        </w:rPr>
        <w:t>E. 2</w:t>
      </w:r>
    </w:p>
    <w:p>
      <w:r>
        <w:t>a) Le requérant fait valoir en substance que son épouse aurait contracté un mariage blanc et qu’elle aurait travaillé au noir, respectivement qu’elle pourrait augmenter son taux de travail, qu’elle aurait vidé des comptes et qu’il aurait investi près de 65'000 fr. pour les enfants de celle-ci. b) 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op. cit., n. 16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(ATF 92 II 72 ; Schweizer, op. cit., nn. 18 à 20 ad art. 328 CPC). c) En l’espèce, le requérant ne fait que rediscuter l’arrêt du Juge délégué du 3 février 2014, en faisant valoir des moyens qui avaient déjà été invoqués devant celui-ci ou qui auraient pu l’être et en déposant des pièces qui avaient déjà été produites ou qui auraient pu l’être dans la procédure initiale. Il ne démontre nullement avoir découvert après coup des éléments de fait pertinents dont il n’aurait pas été en mesure de se prévaloir en cours de procédure, pour des raisons qui ne lui sont pas imputables. Pour le surplus, lorsqu’il fait valoir des moyens de droit – par exemple qu’un revenu hypothétique aurait dû être retenu à l’encontre de son épouse –, la voie de la révision ne lui est pas ouverte.</w:t>
      </w:r>
    </w:p>
    <w:p>
      <w:r>
        <w:rPr>
          <w:b/>
        </w:rPr>
        <w:t>E. 3</w:t>
      </w:r>
    </w:p>
    <w:p>
      <w:r>
        <w:t>D’emblée dépourvue de chances de succès, la requête de révision doit être rejetée dans la procédure de l’art. 330 CPC, de même que la requête d’assistance judiciaire. L’arrêt est rendu sans frais (art. 10 TFJC [tarif des frais judiciaires en matière civile du 28 septembre 2010 ; RSV 270.11.5]). Par ces motifs, le juge délégué de la Cour d’appel civile du Tribunal cantonal, statuant à huis clos, en application de l'art. 330 CPC, prononce : I. La requête de révision est rejetée. II. La requête d’assistance judiciaire est rejetée. III. L’arrêt est rendu sans frais. IV. L’arrêt est exécutoire. Le juge délégué : La greffière : Du L'arrêt qui précède, dont la rédaction a été approuvée à huis clos, est notifié en expédition complète, par l'envoi de photocopies, à : ‑ A,W.________ ‑ Me Marine Fragnière-Luy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