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272 vom 27. März 2014</w:t>
      </w:r>
    </w:p>
    <w:p>
      <w:r>
        <w:t>VD Tribunal cantonal, 2014-03-27, FR</w:t>
      </w:r>
    </w:p>
    <w:p>
      <w:r>
        <w:rPr>
          <w:b/>
        </w:rPr>
        <w:t xml:space="preserve">Quelle: </w:t>
      </w:r>
      <w:r>
        <w:t>https://mcp.opencaselaw.ch/entscheid/vd_findinfo_HC___2014___272</w:t>
      </w:r>
    </w:p>
    <w:p>
      <w:r>
        <w:t>FR: VD_FINDINFO HC / 2014 / 272 du 27 mars 2014</w:t>
      </w:r>
    </w:p>
    <w:p>
      <w:r>
        <w:t>IT: VD_FINDINFO HC / 2014 / 272 del 27 marzo 2014</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w:t>
      </w:r>
    </w:p>
    <w:p>
      <w:r>
        <w:rPr>
          <w:b/>
        </w:rPr>
        <w:t>E. 2</w:t>
      </w:r>
    </w:p>
    <w:p>
      <w:r>
        <w:t>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(Hohl, op. cit., n 2415 p. 438 ; sur le tout, JT 2011 III 43). c) En l’espèce, les pièces produites par l’appelante figurent déjà au dossier de première instance. d) Lors de l’audience du 25 mars 2014, l’intimé a produit certaines pièces relatives à ses charges figurant déjà au dossier de première instance (leasing et assurance de son véhicule). Les autres pièces produites par l’intimé, soit diverses factures datées d’avril à novembre 2013 (assurance-ménage, assurance-incendie, électricité), sont également recevables eu égard aux principes exposés ci-dessus.</w:t>
      </w:r>
    </w:p>
    <w:p>
      <w:r>
        <w:rPr>
          <w:b/>
        </w:rPr>
        <w:t>E. 3</w:t>
      </w:r>
    </w:p>
    <w:p>
      <w:r>
        <w:t>a) Le premier juge a retenu que la situation financière de l’intimé s’était modifiée depuis la signature de la convention du 5 juillet 2012, dans la mesure où il avait subi une baisse de revenus après avoir été contraint de quitter son emploi chez [...], d’une part, et que ses charges – notamment à titre de frais de transport – avaient augmenté, d’autre part. Dans ses écritures, l’appelante ne conteste pas qu’il y ait des faits nouveaux justifiant, à tout le moins, un réexamen de la situation financière des parties, mais conteste les montants retenus par l’autorité de première instance pour établir la capacité contributive de l’intimé. b) Aux termes de l’art. 179 al. 1 CC (Code civil suisse du 10 décembre 1907 ; RS 210),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La Pratique de la famille [FamPra.ch] 2011 p. 993 ; TF 5A_183/2010 du 19 avril 2010 c. 3.3.1).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références ; TF 5A_400/2012 du 25 février 213 c.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5A_245/2013 du 24 septembre 2013 c. 3.1 ; TF 5A_618/2009 du 14 décembre 2009 c. 3.2.2). Pour faire valoir de tels motifs, seules les voies de recours sont ouvertes (TF 5A_324/2012 du 15 août 2012 c. 5 ; TF 5A_ 400/2012 du 25 février 2013 c. 4.1 et références; sur le tout : TF 5A_153/2013 du 24 juillet 2013 c. 2.1 et TF 5A_245/2013 du 24 septembre 2013 c. 3.1). Une modification est exclue lorsque les circonstances nouvelles ont été provoquées par le comportement illicite ou constitutif d’abus de droit du requérant (TF 5P.473/2006 du 19 décembre 2006, FamPra.ch 2007 p. 373 ; TF 5A_101/2013 du 25 juillet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 4.1 ; cf. ATF 138 III 289 c. 11.1.1). c) En l’espèce, il n’est pas contesté que l’ancien employeur de l’intimé a mis un terme à son contrat de travail, de sorte que celui-ci a changé d’emploi dans le courant de l’été 2013. S’il s’avère, compte tenu des pièces produites, que l’intimé réalise à peu près le même revenu qu’avant (cf. c. 3.3 ci-dessous), ses charges doivent être réexaminées, puisque son nouvel employeur n’assume plus ses frais de transport et que la distance qui le sépare de son lieu de travail a changé.</w:t>
      </w:r>
    </w:p>
    <w:p>
      <w:r>
        <w:rPr>
          <w:b/>
        </w:rPr>
        <w:t>E. 3.2</w:t>
      </w:r>
    </w:p>
    <w:p>
      <w:r>
        <w:t>a) D’après l’art. 176 al. 1 ch. 1 CC,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SA_453/2009 du 9 novembre 2009 c. 5.2 ), la fixation de la contribution d’entretien ne devant pas anticiper sur la liquidation du régime matrimonial. b/aa) Lorsque les parties sont dans une situation matérielle favorable (sur celle notion : TF 5A_288/2008 du 27 août 2008 c. 5.4), il convient ainsi de se fonder sur les dépenses indispensables au maintien des conditions de vie antérieures, qui constitue la limite supérieure du droit à l’entretien (ATF 121 I 97 c. 3b et les arrêts cités ; TF 5A_453/2009 du 9 novembre 2009 c. 5.2 ; TF 5A_515/2008 du 1 er décembre 2008 c. 2.1 ; TF 5A_732/2007 du 4 avril 2008 c. 2.2 ; TF 5P.138/2001 du 10 juillet 2001 c.2a/bb, publié in FamPra.ch 2002 p. 333). bb)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5P.50412006 du 22 février 2007 c. 2.2.1; TF SC.180/2002 du 20 décembre 2002 c. 5.2.2, in FamPra.ch 2003 pp. 428 ss, 430 et les citations). c) En l’espèce, c’est à bon droit que le premier juge a appliqué la méthode du minimum vital avec répartition de l’excédent. Cela n’est d’ailleurs pas contesté en appel.</w:t>
      </w:r>
    </w:p>
    <w:p>
      <w:r>
        <w:rPr>
          <w:b/>
        </w:rPr>
        <w:t>E. 3.3</w:t>
      </w:r>
    </w:p>
    <w:p>
      <w:r>
        <w:t>a) L’appelante estime que les revenus et charges pris en considération en faveur de l’intimé par la décision entreprise sont erronés. En particulier, elle fait valoir que si le salaire net de l’intimé depuis le 1 er juillet 2013 est bien de 4'690 fr. 75, c’est à tort que le premier juge n’a pas pris en considération le « versement unique » et la « prime de Noël » prévues dans la convention de travail applicable au contrat de l’intimé, d’une part, et n’a pas tenu compte du subside d’assurance-maladie de ce dernier, d’autre part. Au vu des pièces relatives aux revenus de l’intimé entre juillet 2013 et janvier 2014, versés à la procédure entre le dépôt de l’appel et l’audience du 25 mars 2014, lors de ladite audience, l’appelante a augmenté ses conclusions à 2'250 fr. par mois, allocations familiales en sus, dès le 1 er septembre 2013. b/aa) Le revenu du travail à prendre en considération pour fixer la contribution d’entretien comprend les indemnités pour les vacances, le treizième mois, les heures extraordinaires, la gratification versée régulièrement, le bonus, et les indemnités forfaitaires qui dépassent le remboursement des frais (Epiney-Colombo, Aide-mémoire pour le calcul de la contribution d'entretien (méthode tessinoise), in FamPra.ch 2005 p. 271 et les références citées ; Bastons Bulletti, L’entretien après divorce : méthodes de calcul, montant, durée et limites, in SJ 2007 II p. 77, 80 et les références citées ; TF 5P.172/2002 du</w:t>
      </w:r>
    </w:p>
    <w:p>
      <w:r>
        <w:rPr>
          <w:b/>
        </w:rPr>
        <w:t>E. 6</w:t>
      </w:r>
    </w:p>
    <w:p>
      <w:r>
        <w:t>mois d’activité et en plus de son salaire mensuel de 5'200 fr., une indemnité de congés de 2'600 fr. ainsi qu’une prime de Noël de 2'600 francs, soit exactement ce qui était convenu contractuellement. Il en va différemment du « versement unique », dont le contrat (chiffre 4) précisait qu’il ne serait pas versé durant la première année d’engagement, et qui n’apparaît effectivement pas dans les revenus de l’intimé. Conformément à la jurisprudence précitée, il y a dès lors lieu de tenir compte d’un salaire net de l’intimé de 5'606 fr. 60, (soit 5'200 fr. brut – 7,6 % x 14 / 12), étant rappelé le débirentier conserve la possibilité de demander une révision de la contribution d’entretien si ces primes ne devaient plus lui être versées à l’avenir. Pour le surplus, le montant de 154 fr. versé 12 fois l’an au titre de « Mittagsentschädigung » a été déduit du salaire pris en considération (cf. iii) ci-dessous). ii) S’agissant de sa prime d’assurance-maladie obligatoire, l’intimé a déclaré lors de l’audience du 25 mars 2014 qu’elle était de 321 fr. 40 en 2014, étant précisé que selon lui, le subside qui lui était alloué (284 fr.) serait prochainement réexaminé. Des pièces produites, il ressort que l’intimé est au bénéfice d’une décision de l’Office vaudois d’assurance-maladie datée du 19 décembre 2013 – soit après son changement d’emploi – et fixant un subside de 284 fr. à compter du 1 er janvier 2014. Rien ne permettant, contrairement à ce que soutient l’intimé, de considérer que ce subside va être supprimé, il convient dès lors de tenir compte d’un montant mensuel de 37 fr. à sa charge. iii) L’intimé, dont le lieu de travail se trouve à 6 kilomètres de son domicile, n’a jamais allégué ni démontré qu’il assumerait des frais relatifs à des repas pris à l’extérieur, qui plus est d’un montant de 195 fr. par mois ainsi que l’a retenu le premier juge. En outre, ainsi que cela ressort de ses fiches de salaire, il bénéficie déjà d’un montant de 154 fr. brut versé par [...] à cette fin. Partant, il n’y a pas lieu de tenir compte de frais de repas supplémentaires. iv) En audience, l’intimé a attiré l’attention du juge sur le fait que ses frais de transport n’étaient plus pris en charge par l’employeur, contrairement à ce qui prévalait au moment de la signature de la convention précédente. A cet égard, le calcul du premier juge, lequel a tenu compte de deux trajets par jour entre [...] et [...] de 6 kilomètres par jour ouvré, au tarif de 70 centimes le kilomètre, soit 182 fr. 30 par mois, ne prête pas le flanc à la critique et peut dès lors être retenu. v) Enfin, les autres charges de l’intimé telles que retenues par le premier juge (base mensuelle 1'200 fr., droit de visite 150 fr., loyer 1'675 fr., leasing 250 fr. 45) sont inchangées. Il n’y a pas lieu de tenir compte des charges supplémentaires de l’intimé (assurance-ménage ; assurance incendie, électricité) qui sont comprises dans le montant de base. vi) Il en va de même de la situation financière de l’appelante, dont les parties admettent qu’avec des revenus de quelque 3’080 fr., allocations familiales comprises (soit 2'620 fr. plus 460 fr. d’allocations familiales), pour des charges incompressibles (non discutées par les parties) de quelque 5'375 fr. par mois (à savoir : base mensuelle : 1'350.00 ; base mensuelle enfants : 800 fr. ; charges du logement : 2'300 fr. ; primes d’assurance-maladie : 255 fr. pour l’appelante personnellement et 170 fr. pour les enfants ; leasing : 300 fr. ; imprévus : 150 fr.), celle-ci est largement déficitaire (- 2'295 fr.). L’excédent de l’intimé étant de 2'110 fr. 86 (soit 5'606 fr. 60 – 3'494 fr. 75) il ne suffit à couvrir le manco de l’appelante. Partant, le solde disponible lui est entièrement dû. Au vu de ce qui précède, c’est donc un montant de 2'110 fr., arrondi à 2'100 fr., qui est dû à  l’appelante dès le 1 er septembre 2013. 4. a) Il s’ensuit que l’appel doit être partiellement admis et l’ordonnance du 22 janvier 2014 annulée. b) Les frais comprennent les frais judiciaires et les dépens (art. 95 al. 1 CPC). Ils sont fixés d'office (art. 105 CPC) selon le tarif (art. 96 CPC) des dépens en matière civile (TDC [Tarif des dépens en matière civile du 23 novembre 2010, RSV 270.11.6]). En principe, la partie succombante (art. 106 al. 1 CPC) doit verser à la partie victorieuse tous les frais nécessaires causés par le litige (art. 37 al. 2 CDPJ [Code de droit privé judiciaire vaudois du 12 janvier 2010, RSV 211.02]). En l’espèce, l’appelante obtient gain de cause, bien que, formellement, elle ait perdu dans une très moindre mesure sur les conclusions augmentées lors de l’audience du 25 mars 2014. Partant, les frais judiciaires de deuxième instance, arrêtés à 600 fr. (art. 65 al. 2 TFJC [tarif des frais judiciaires civils du 28 septembre 2010, RSV 270.11.5]), sont mis à la charge de l’intimé, qui succombe (art. 106 al. 2 CPC). L’appelante a droit à des dépens d'appel, qui sont fixés d'office (art. 105 CPC) selon le tarif des dépens en matière civile. En l'espèce, l’intimé versera à l’appelante le montant de 2’400 fr. à titre de dépens et de 600 fr. à titre de restitution d’avance de frais de deuxième instance. Pour le cas où cette somme ne pourrait pas être recouvrée, l’indemnité de Me Xavier Diserens, conseil d’office de A.H.________ pour la procédure de deuxième instance, est arrêtée à 2'127 fr. 60, comprenant un défraiement de 1'800 fr., des débours de 170 fr. et la TVA sur ces montants par 144 fr. et 13 fr. 60 (art. 2 al. 1 RAJ [règlement du 7 décembre 2010 sur l'assistance judiciaire en matière civile ; RSV 211.02.3]) L’indemnité de Me Frank Olivier Karlen, conseil d’office de B.H.________ pour la procédure de deuxième instance, est arrêtée à 1'735 fr. 80, comprenant un défraiement de 1’440 fr., des débours de 170 fr. et la TVA sur ces montants par 115 fr. 20 et 13 fr. 60. Les bénéficiaires de l'assistance judiciaire sont tenus, dans la mesure de l’art. 123 CPC, au remboursement des frais judiciaires et de l’indemnité à leur conseil d’office mis à la charge de l’Etat. Par ces motifs, le juge délégué de la Cour d’appel civile du Tribunal cantonal, statuant à huis clos, prononce : I. L’appel est partiellement admis. II. L’ordonnance est réformée comme suit au chiffre I de son dispositif : I. dit que B.H.________ contribuera à l’entretien des siens par le régulier versement d’une pension mensuelle de 2'100 fr. (deux mille cent francs), allocations familiales éventuelles en sus, payable d’avance le premier de chaque mois en mains de A.H.________, dès et y compris le 1 er septembre 2013. L’ordonnance est confirmée pour le surplus. III. Les frais judiciaires de deuxième instance, arrêtés à 600 fr. (six cents francs) pour l’appelante, sont laissés à la charge de l’Etat. IV. L’indemnité d’office de Me Xavier Diserens, conseil d’office de l’appelante, est arrêtée à 2'127 fr. 60 (deux mille cent vingt-sept francs et soixante centimes), TVA et débours compris, et celle de Me Frank-Olivier Karlen, conseil de l’intimé, à 1'735 fr. 80 (mille sept cent trente-cinq francs et huitante centimes), TVA et débours compris. V. L’intimé B.H.________ doit verser à l’appelante A.H.________ une indemnité de 3'000 fr. (trois mille francs) à titre de dépens et de restitution d’avance de frais de deuxième instance. VI. Les bénéficiaires de l’assistance judiciaire sont tenus, dans la mesure de l’art. 123 CPC, au remboursement des frais judiciaires et de l’indemnité à leur conseil d’office mis à la charge de l’Etat. VII. L'arrêt est exécutoire. La juge déléguée : La greffière : Du 27 mars 2014 Le dispositif de l'arrêt qui précède est communiqué par écrit aux intéressés. La greffière : Du L'arrêt qui précède, dont la rédaction a été approuvée à huis clos, est notifié en expédition complète, par l'envoi de photocopies à : ‑ Me Xavier Diserens (pour A.H.________), ‑ Me Frank-Olivier Karlen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