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271 vom 5. März 2014</w:t>
      </w:r>
    </w:p>
    <w:p>
      <w:r>
        <w:t>VD Tribunal cantonal, 2014-03-05, FR</w:t>
      </w:r>
    </w:p>
    <w:p>
      <w:r>
        <w:rPr>
          <w:b/>
        </w:rPr>
        <w:t xml:space="preserve">Quelle: </w:t>
      </w:r>
      <w:r>
        <w:t>https://mcp.opencaselaw.ch/entscheid/vd_findinfo_HC___2014___271</w:t>
      </w:r>
    </w:p>
    <w:p>
      <w:r>
        <w:t>FR: VD_FINDINFO HC / 2014 / 271 du 5 mars 2014</w:t>
      </w:r>
    </w:p>
    <w:p>
      <w:r>
        <w:t>IT: VD_FINDINFO HC / 2014 / 271 del 5 marzo 2014</w:t>
      </w:r>
    </w:p>
    <w:p>
      <w:pPr>
        <w:pStyle w:val="Heading2"/>
      </w:pPr>
      <w:r>
        <w:t>Regeste</w:t>
      </w:r>
    </w:p>
    <w:p>
      <w:r>
        <w:t>CERTIFICAT D'HÉRITIER, PARENTÈLE | 457 CC, 459 CC</w:t>
      </w:r>
    </w:p>
    <w:p>
      <w:pPr>
        <w:pStyle w:val="Heading2"/>
      </w:pPr>
      <w:r>
        <w:t>Erwägungen</w:t>
      </w:r>
    </w:p>
    <w:p>
      <w:r>
        <w:rPr>
          <w:b/>
        </w:rPr>
        <w:t>E. 1</w:t>
      </w:r>
    </w:p>
    <w:p>
      <w:r>
        <w:t>a) Les décisions relatives au certificat d’héritier et à sa délivrance sont des décisions gracieuses de droit fédéral. En matière de dévolution successorale, le droit fédéral laisse aux cantons la latitude de choisir entre une autorité administrative et un juge, ainsi que de fixer la procédure (art. 54 al. 1 et 3 Tit. fin. CC ; Exposé des motifs ad CDPJ [Code de droit privé judiciaire vaudois du 12 janvier 2010, RSV 211.02], mai 2009, n. 87 in fine ad art. 108 du projet, p. 77). Dans le canton de Vaud, l’appel aux héritiers et le certificat d’héritier sont régis par les art. 126 et 133 ss CDPJ. Les art. 104 à 109 CDPJ s’appliquent par le renvoi de l’art. 111 CDPJ. Le CPC (Code de procédure civile suisse du 19 décembre 2008, RS 272) est applicable à titre supplétif (art. 104 et 108 CDPJ). La procédure sommaire s’applique à la juridiction gracieuse (art. 248 let. e CPC), de sorte que seul le recours limité au droit est recevable contre les décisions d’appel aux héritiers et relatives au certificat d’héritier (art. 109 al. 3 CDPJ; CREC 20 mars 2014/111 c. 3 ; CREC 4 avril 2011/20 c. 1). b) Le recours, écrit et motivé (art. 321 al. 1 CPC), doit s’exercer dans un délai de dix jours pour les décisions prises en procédure sommaire (art. 321 al. 2 CPC). L’existence d’un intérêt du recourant (art. 59 al. 2 CPC) est une condition de recevabilité de tout recours, cet intérêt devant être juridique et non de fait (ATF 127 III 429 c. lb; ATF 120 II 7 c. 2a; ATF 118 II 108 c. 2c; JT 2001 III 13). Tel n’est pas le cas lorsque le recours porte uniquement sur l’indication des parts héréditaires, cette, indication étant facultative et n’ayant aucune portée juridique (ATF 118 II 108 précité c. 2b et 2c, Poudret/Haldy/Tappy, Procédure civile vaudoise, 3 e éd., Lausanne 2002, n. 2.4 ad art. 489 CPC-VD [Code de procédure civile vaudoise du 14 décembre 1966], p. 759). c) En l’espèce, le recours a été formé par une parente de la défunte, qui a qualité pour agir et possède un intérêt juridiquement protégé à remettre en cause la décision entreprise, laquelle refuse implicitement de lui délivrer un certificat d’héritier en lui déniant la qualité d’héritier. Déposé en temps utile, le recours est recevable à la forme.</w:t>
      </w:r>
    </w:p>
    <w:p>
      <w:r>
        <w:rPr>
          <w:b/>
        </w:rPr>
        <w:t>E. 2</w:t>
      </w:r>
    </w:p>
    <w:p>
      <w:r>
        <w:t>Le recours est recevable pour violation du droit et constatation manifestement inexacte des faits (art. 320 CPC). S’agissant de la violation du droit, l’autorité de recours dispose d’un plein pouvoir d’examen (Spühler, in Basler Kommentar ZPO, 2 e éd., Bâle 2013, n. 12 ad. art. 319 CPC). Elle revoit librement les questions de droit soulevées par le recourant et peut substituer ses propres motifs à ceux de l’autorité précédente ou du recourant (Hohl, Procédure civile, tome II, 2 e éd., Berne 2010, n. 2508, p. 452).</w:t>
      </w:r>
    </w:p>
    <w:p>
      <w:r>
        <w:rPr>
          <w:b/>
        </w:rPr>
        <w:t>E. 3</w:t>
      </w:r>
    </w:p>
    <w:p>
      <w:r>
        <w:t>a) A l’appui de son recours, la recourante invoque être la fille de feu  [...], lui-même fils de feu [...], « membre de [la] fratrie [...]». b) Selon l’art. 457 al. 1 et 2 CC, les héritiers les plus proches sont les descendants, et les enfants succèdent par tête. Les membres de la parentèle des grands-parents n’héritent que si le défunt n’a laissé ni postérité, ni père, ni mère, ni descendants d’eux (art. 459 al. 1 CC ; Steinauer, Le droit des successions, Berne 2006, n° 88, p. 79). c) En l’espèce, les motifs du premier juge ne peuvent qu’être adoptés. La première parentèle excluant la vocation successorale des autres parentèles selon le mécanisme légal des art. 457 à 460 CC, il est clair que la recourante en concurrence avec les descendants du de cujus ne peut prétendre à la délivrance d’un certificat d’héritier. Le recours doit donc être rejeté comme manifestement infondé, et la décision attaquée confirmée, les frais judiciaires de deuxième instance, arrêtés à 200 fr. (art. 74 al. 1 TFJC [tarif des frais judiciaires civils du 28 septembre 2010, RSV 270.11.5]), mis à la charge de la recourante. Sa demande d’assistance judicaire doit également être rejetée, la cause étant dépourvue de toute chance de succès (art. 117 let. b CPC). Par ces motifs, la Chambre des recours civile du Tribunal cantonal, statuant à huis clos, en application de l'art. 322 al. 1 CPC, prononce : I. Le recours est rejeté. II. La décision est confirmée. III. La demande d’assistance judiciaire est rejetée. IV. Les frais judiciaires de deuxième instance, arrêtés à 200 fr. (deux cents francs), sont mis à la charge de la recourante F.________. V. L’arrêt motivé est exécutoire. Le président :               La greffière : Du</w:t>
      </w:r>
    </w:p>
    <w:p>
      <w:r>
        <w:rPr>
          <w:b/>
        </w:rPr>
        <w:t>E. 6</w:t>
      </w:r>
    </w:p>
    <w:p>
      <w:r>
        <w:t>mars 2014 Le dispositif de l'arrêt qui précède est communiqué par écrit aux intéressés. La greffière : Du L'arrêt qui précède, dont la rédaction a été approuvée à huis clos, est notifié en expédition complète, par l'envoi de photocopies, à : - Mme F.________, - M. A.T.________, - M. N.________, - H.________ SA.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