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264 vom 4. April 2014</w:t>
      </w:r>
    </w:p>
    <w:p>
      <w:r>
        <w:t>VD Tribunal cantonal, 2014-04-04, FR</w:t>
      </w:r>
    </w:p>
    <w:p>
      <w:r>
        <w:rPr>
          <w:b/>
        </w:rPr>
        <w:t xml:space="preserve">Quelle: </w:t>
      </w:r>
      <w:r>
        <w:t>https://mcp.opencaselaw.ch/entscheid/vd_findinfo_HC___2014___264</w:t>
      </w:r>
    </w:p>
    <w:p>
      <w:r>
        <w:t>FR: VD_FINDINFO HC / 2014 / 264 du 4 avril 2014</w:t>
      </w:r>
    </w:p>
    <w:p>
      <w:r>
        <w:t>IT: VD_FINDINFO HC / 2014 / 264 del 4 aprile 2014</w:t>
      </w:r>
    </w:p>
    <w:p>
      <w:pPr>
        <w:pStyle w:val="Heading2"/>
      </w:pPr>
      <w:r>
        <w:t>Regeste</w:t>
      </w:r>
    </w:p>
    <w:p>
      <w:r>
        <w:t>MESURE PROVISIONNELLE, DROIT DE GARDE, VISITE, ENFANT, DIVORCE | 273 al. 1 CC, 273 al. 2 CC, 261 al. 1 CPC (CH)</w:t>
      </w:r>
    </w:p>
    <w:p>
      <w:pPr>
        <w:pStyle w:val="Heading2"/>
      </w:pPr>
      <w:r>
        <w:t>Erwägungen</w:t>
      </w:r>
    </w:p>
    <w:p>
      <w:r>
        <w:rPr>
          <w:b/>
        </w:rPr>
        <w:t>E. 1</w:t>
      </w:r>
    </w:p>
    <w:p>
      <w:r>
        <w:t>L'appel est recevable contre les décisions de première instance sur les mesures provisionnelles (art. 308 al. 1 let. b CPC) dans les causes non patrimoniales ou dont la valeur litigieuse est supérieure à 10'000 fr. (art. 308 al. 2 CPC ).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dûment motivé,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le couple a deux enfants mineurs, si bien que la maxime d’office et la maxime inquisitoire illimitée sont applicables (art. 296 al. 1 et 3 CPC ; Hohl, Procédure civile, tome II, 2 ème éd., Berne 2010, nn. 2099 et 2161, pp. 383 et 395).  Au surplus, les pièces produites en appel sont postérieures à l’audience de première instance. Elles sont dès lors recevables.</w:t>
      </w:r>
    </w:p>
    <w:p>
      <w:r>
        <w:rPr>
          <w:b/>
        </w:rPr>
        <w:t>E. 3</w:t>
      </w:r>
    </w:p>
    <w:p>
      <w:r>
        <w:t>L’appelant conteste la restriction de son droit de visite, qu’il estime contraire à l’intérêt des enfants. Il se prévaut du courrier du curateur du 30 janvier 2014, conteste l’expertise pédopsychiatrique et critique le comportement de l’intimée, qui manipulerait les enfants. Il affirme que la suppression de son droit de visite n’est qu’une punition pour un comportement inadéquat qu’il a eu envers la curatrice de ses enfants.</w:t>
      </w:r>
    </w:p>
    <w:p>
      <w:r>
        <w:rPr>
          <w:b/>
        </w:rPr>
        <w:t>E. 3.1.1</w:t>
      </w:r>
    </w:p>
    <w:p>
      <w:r>
        <w:t>Le droit d’être entendu, tel qu’il est garanti par l’art. 29 al. 2 Cst. (Constitution fédérale de la Confédération suisse du 18 avril 1999 ; RS 101), comprend notamment le droit pour le justiciable de s’exprimer sur les éléments pertinents avant qu’une décision ne soit prise touchant sa situation juridique, de participer à l’administration des preuves essentielles et de se déterminer sur son résultat lorsque cela est de nature à influer sur la décision à rendre (ATF 133 I 270 c. 3.1 ; ATF 126 I 15 c. 2a/aa ; ATF 124 I 49 c. 3a). L’autorité apprécie librement la force probante d’une expertise. Dans le domaine des connaissances professionnelles particulières de l’expert, elle ne peut toutefois s’écarter de l’opinion de celui-ci que pour des motifs importants qu’il lui incombe d’indiquer (ATF 130 I 337 c. 5.4.2 ; ATF 128 I 81 c. 2 in medio). Elle y est notamment autorisée lorsque le rapport d’expertise présente des contradictions, ou s’il attribue un sens ou une portée inexacts aux documents et déclarations auxquels il se réfère (ATF 101 IV 129 c. 3a).</w:t>
      </w:r>
    </w:p>
    <w:p>
      <w:r>
        <w:rPr>
          <w:b/>
        </w:rPr>
        <w:t>E. 3.1.2</w:t>
      </w:r>
    </w:p>
    <w:p>
      <w:r>
        <w:t>Lorsque les époux ont des enfants mineurs, le juge règle les relations personnelles entre le parent non gardien et l’enfant, dans le cadre de l’organisation de la vie séparée des conjoints, en se basant sur les dispositions régissant les effets de la filiation (art. 176 al. 3 CC; art. 273 ss CC). L’art. 273 CC, en particulier, prévoit que le parent non détenteur de l’autorité parentale ou de la garde de l’enfant mineur a le droit d’entretenir avec celui-ci, et réciproquement,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2010, n. 20 ad art. 176 CC, p. 1240 ; TF 5A_826/2009 du 22 mars 2010 c. 2.1).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131 III 209 c. 5; 123 III 445 c. 3b). Le droit aux relations personnelles vise à sauvegarder le lien existant entre parents et enfants (Hegnauer, Droit suisse de la filiation, 4 e éd., 1998, n. 19.20, p. 116). 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op. cit., n. 19.16, p. 114).</w:t>
      </w:r>
    </w:p>
    <w:p>
      <w:r>
        <w:rPr>
          <w:b/>
        </w:rPr>
        <w:t>E. 3.1.3</w:t>
      </w:r>
    </w:p>
    <w:p>
      <w:r>
        <w:t>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5P.33/2001 du 5 juillet 2001 c. 3a). Conformément au principe de proportionnalité, il importe en outre que cette menace ne puisse être écartée par d'autres mesures appropriées (ATF 131 III 209, JT 2005 I 2002; ATF 118 II 21 c. 3c, JT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 5). On peut admettre qu'un parent ne s'est pas soucié sérieusement de son enfant au sens de l'art. 274 al. 2 CC lorsqu'il ne prend aucune part à son bien-être, s'en remet en permanence à d'autres pour les soins dus à l'enfant et n'entreprend rien pour établir une relation vivante avec lui; peu importe de savoir si les efforts auraient été couronnés de succès et si le comportement du parent habilité à donner son consentement est coupable ou non (ATF 118 II 21 c. 3d). Le retrait de tout droit à des relations personnelles constitue l'ultima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Revue du droit de la tutelle [RDT] 2/2009 p. 111). L'établissement d'un droit de visite surveillé nécessite des indices concrets de mise en danger du bien de l'enfant (TF 5P.131/2006 du 25 août 2006 précité).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in FamPra.ch 2008 p. 173).</w:t>
      </w:r>
    </w:p>
    <w:p>
      <w:r>
        <w:rPr>
          <w:b/>
        </w:rPr>
        <w:t>E. 3.2</w:t>
      </w:r>
    </w:p>
    <w:p>
      <w:r>
        <w:t>L’appelant conteste l’expertise pédopsychiatrique des enfants B.Z.________ et C.Z.________, aux motifs qu’elle n’a pas été validée par des experts pédopsychiatriques, qu’elle fait fi des différents rapports rendus par la Doctoresse T.________ et qu’elle n’a pas investigué la question de l’éventuelle aliénation des enfants par la mère. En l’espèce, le rapport pédopsychiatrique du 4 novembre 2013 a été effectuée par des experts, à savoir la Doctoresse F.________ et la psychologue M.________. Cette expertise est claire, précise et complète. Les experts ont eu accès à une documentation abondante, notamment les rapports d’enquête sociale du SPJ de 2010 et 2011, le rapport d’expertise psychiatrique d’A.Z.________ du 19 juillet 2013, celui d’P.________ du 26 août 2013 ainsi que le rapport d’évaluation de son compagnon du 24 août 2012. Ils se sont en outre entretenus téléphoniquement avec divers intervenants, tels la curatrice des enfants, leurs enseignants, l’assistante sociale du SPJ, les experts psychiatriques. Ils ont entendu à diverses reprises les deux enfants, les enfants avec chacun des parents, les parents individuellement et ensemble, et enfin chaque parent avec son compagnon. Le rapport d’expertise contient une anamnèse ainsi qu’une observation clinique de chaque enfant et parent, ainsi qu’un examen approfondi des capacités parentales de chaque parent à reconnaître les besoins des enfants et à pouvoir y répondre. Enfin, les spécialistes ont répondu aux questions posées. Le grief de l’appelant doit ainsi être rejeté sur ce point.</w:t>
      </w:r>
    </w:p>
    <w:p>
      <w:r>
        <w:rPr>
          <w:b/>
        </w:rPr>
        <w:t>E. 3.3</w:t>
      </w:r>
    </w:p>
    <w:p>
      <w:r>
        <w:t>L’appelant conteste la restriction de son droit de visite et conclut, dans l’intérêt des enfants, au rétablissement d’un droit de visite libre et non médiatisé. Si ce dernier conteste l’intégralité de l’ordonnance attaquée, il ne fait valoir aucune critique contre les suivis thérapeutiques ordonnés et la mise en place d’un curatelle, de sorte que les conclusions relatives à ces questions sont irrecevables, faute de motivation suffisante y relative (art. 311 al. 1 CPC ; TF 4A_659/2011 du 7 décembre 2011, in SJ 2012 I 131 c. 3 ; Jeandin, CPC commenté, Bâle 2011, n. 3 ad art. 311 CPC).</w:t>
      </w:r>
    </w:p>
    <w:p>
      <w:r>
        <w:rPr>
          <w:b/>
        </w:rPr>
        <w:t>E. 3.3.1</w:t>
      </w:r>
    </w:p>
    <w:p>
      <w:r>
        <w:t>Il est manifeste que les enfants B.Z.________ et C.Z.________ souffrent du conflit qui oppose leurs parents. En effet, il résulte de l’expertise pédopsychiatrique du 4 novembre 2013 que les deux enfants laissent transparaître un vécu d’insécurité interne renforcé par l’instabilité de la situation actuelle. Actuellement, ils présentent plutôt des symptômes réactionnels vis-à-vis de la situation, qui se manifestent chez B.Z.________ par des tics au niveau du visage et chez C.Z.________ par des mictions et une énurésie. Cependant, l’ampleur et la chronicisation du conflit pourrait affecter leur développement et ébranler définitivement leur confiance envers les compétences des adultes (cf. expertise du 4 novembre 2013, p. 20). Par ailleurs, il est évident que le litige et les tensions entretenues par les parties placent les enfants dans une situation difficile pouvant mener à des complications dans leur développement. Le fait que leurs enseignants ne paraissent pas particulièrement inquiets ne permet pas une autre appréciation du contenu de l’expertise.</w:t>
      </w:r>
    </w:p>
    <w:p>
      <w:r>
        <w:rPr>
          <w:b/>
        </w:rPr>
        <w:t>E. 3.3.2</w:t>
      </w:r>
    </w:p>
    <w:p>
      <w:r>
        <w:t>Selon le rapport d’expertise psychiatrique de la Doctoresse T.________, le père souffre d’un grave trouble de la personnalité mixte, qu’il ne peut reconnaître. Il semble aveuglé par un mécanisme de pensée, fait d’accusations, imprégné de certitudes entraînant une grande méfiance tant à l’égard de la mère des enfants, des compagnons de celle-ci, que des représentants légaux tels que l’ancienne curatrice des enfants ou les experts. Dès que quiconque remet en question ou se met en rivalité avec l’exercice de ses droits parentaux et sa fonction de père, il devient menaçant. Dans cet état de fragilité psychique, il n’est pas possible pour l’appelant de prendre en considération les besoins réels de ses enfants ainsi que de reconnaître leur souffrance. De plus, la situation sociale de l’intéressé reste précaire. L’appelant est envahi par ses revendications et a par conséquent peu de liberté pour penser aux besoins de ses enfants et aux moyens d’y répondre adéquatement. Il revendique ses droits, s’attaque à l’autorité et pense à séparer les enfants de leur mère (ibid., pp. 19-20). Toujours selon les experts, au regard des menaces récentes proférées par le père à l’égard de Me Cacciatore, qui sont du même ordre que ce qu’il a déjà mis en œuvre pendant l’expertise soit participer avec les enfants à une émission TV, s’adresser aux journaux en disqualifiant le travail des professionnels, dans le but de défendre ses droits de père, il paraît impossible que l’appelant exerce son droit de visite en dehors d’un cadre médiatisé par des professionnels en charge de protéger les relations père-enfants dans ce contexte pathologique. Les enfants devraient continuer à voir leur père dans le cadre de son droit de visite mais celles-ci doivent être médiatisées tant que l’appelant profère des menaces et que le conflit avec la mère demeure. De plus, si ces conditions ne pouvaient pas être respectées, le droit de visite devrait être momentanément supprimé (ibid., p. 20) Dans leurs conclusions, les experts relèvent qu’au regard du trouble de la personnalité de l’appelant et de son comportement, celui-ci, envahi pas ses revendications à exercer son droit de père, n’arrive pas actuellement à penser aux besoins de ses enfants et aux moyens d’y répondre. Sa susceptibilité le confronte aux limites de l’exercice de sa paternité dans le cadre de son droit de visite. Le futur exercice de son droit de visite dépendra de sa capacité à respecter les exigences consécutives aux mandats de justice et à sa capacité à collaborer avec les adultes qui s’occupent de ses enfants. Il devrait également s’engager à cesser de disqualifier leur mère. S’il devait en être incapable, son droit de visite devrait temporairement être supprimé (ibid., pp. 21-22).</w:t>
      </w:r>
    </w:p>
    <w:p>
      <w:r>
        <w:rPr>
          <w:b/>
        </w:rPr>
        <w:t>E. 3.3.3</w:t>
      </w:r>
    </w:p>
    <w:p>
      <w:r>
        <w:t>Au regard des éléments précités, il se justifie d’instaurer, à titre provisionnel, un droit de visite médiatisé. Il s’agit de la seule possibilité pour assurer une reprise graduelle des relations normales et saines dans l’intérêt des enfants. Peu importe à cet égard que la thérapeute de l’appelant estime que celui-ci ne présente pas de danger d’auto ou d’hétéro agressivité. Il s’agit à ce stade de protéger les enfants de la relation toxique qui déchire les parents, en prévoyant un droit de visite médiatisé et un encadrement professionnel, et en ordonnant à chacun des parents, dans la perspective d’un rétablissement d’un droit de visite usuel, d’entreprendre une psychothérapie afin de remédier à leur état de fragilité psychique les empêchant de mettre en oeuvre leurs pleines capacités parentales. Au stade des mesures provisionnelles, il n’y a pas lieu pour le surplus de revenir sur l’attribution de la garde, qui reste en l’état confiée à la mère.</w:t>
      </w:r>
    </w:p>
    <w:p>
      <w:r>
        <w:rPr>
          <w:b/>
        </w:rPr>
        <w:t>E. 4</w:t>
      </w:r>
    </w:p>
    <w:p>
      <w:r>
        <w:t>En définitive, l’appel doit être rejeté dans la procédure de l’art. 312 al. 1 CPC et l’ordonnance attaquée confirmée. Au vu des considérants ci-dessus, l’appel s’avère dénué de chance de succès, de sorte que la requête d’assistance judiciaire de l’appelant doit être rejetée (art. 117 let. b CPC). Les frais judiciaires de deuxième instance, arrêtés à 600 fr. (art. 63 al. 1 et 65 al. 2 TFJC [tarif des frais judiciaires civils du 28 septembre 2010 ; RSV 270.11.5]), sont mis à la charge de l’appelant qui succombe (art. 106 CPC). Il n’y a pas lieu à l’allocation de dépens de deuxième instance, l’intimée n’ayant pas été invitée à se déterminer. Par ces motifs, la juge déléguée de la Cour d’appel civile du Tribunal cantonal, statuant à huis clos, en application de l'art. 312 al. 1 CPC, prononce : I. L’appel est rejeté. II. L’ordonnance est confirmée. III. La requête d’assistance judiciaire d’A.Z.________ est rejetée. IV. Les frais judiciaires de deuxième instance, arrêtés à 600 fr. (six cents francs), sont mis à la charge de l’appelant A.Z.________. V. Il n’est pas alloué de dépens de deuxième instance. VI. L’arrêt motivé est exécutoire. La juge déléguée : Le greffier : Du</w:t>
      </w:r>
    </w:p>
    <w:p>
      <w:r>
        <w:rPr>
          <w:b/>
        </w:rPr>
        <w:t>E. 7</w:t>
      </w:r>
    </w:p>
    <w:p>
      <w:r>
        <w:t>avril 2014 Le dispositif de l'arrêt qui précède est communiqué par écrit aux intéressés. Le greffier : Du L'arrêt qui précède, dont la rédaction a été approuvée à huis clos, est notifié en expédition complète, par l'envoi de photocopies, à : ‑ Me Sébastien Pedroli (pour A.Z.________), ‑ Me Matthieu Genillod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