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260 vom 12. März 2014</w:t>
      </w:r>
    </w:p>
    <w:p>
      <w:r>
        <w:t>VD Tribunal cantonal, 2014-03-12, FR</w:t>
      </w:r>
    </w:p>
    <w:p>
      <w:r>
        <w:rPr>
          <w:b/>
        </w:rPr>
        <w:t xml:space="preserve">Quelle: </w:t>
      </w:r>
      <w:r>
        <w:t>https://mcp.opencaselaw.ch/entscheid/vd_findinfo_HC___2014___260</w:t>
      </w:r>
    </w:p>
    <w:p>
      <w:r>
        <w:t>FR: VD_FINDINFO HC / 2014 / 260 du 12 mars 2014</w:t>
      </w:r>
    </w:p>
    <w:p>
      <w:r>
        <w:t>IT: VD_FINDINFO HC / 2014 / 260 del 12 marzo 2014</w:t>
      </w:r>
    </w:p>
    <w:p>
      <w:pPr>
        <w:pStyle w:val="Heading2"/>
      </w:pPr>
      <w:r>
        <w:t>Regeste</w:t>
      </w:r>
    </w:p>
    <w:p>
      <w:r>
        <w:t>MESURE PROVISIONNELLE, DIVORCE, OBLIGATION D'ENTRETIEN, CONJOINT, REVENU HYPOTHÉTIQUE | 176 al. 1 ch. 1 CC, 179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op.cit.,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outre les pièces de forme, l’appelant a produit quatre pièces. Parmi elles, le « certificat capital et intérêts » du 9 avril 2013 de la banque [...] produit en pièce 3 figurait déjà au dossier (pièce 4bis du bordereau du 15 avril 2013). Quant aux pièces 4 à 6, soit les listes de postes vacants dans l’enseignement obligatoire vaudois imprimées les 15 et 28 novembre 2011 et le certificat médical établi le 24 novembre 2013 par le Dr [...], elles auraient pu être produites en première instance, de sorte qu’il n’en sera pas tenu compte.</w:t>
      </w:r>
    </w:p>
    <w:p>
      <w:r>
        <w:rPr>
          <w:b/>
        </w:rPr>
        <w:t>E. 3</w:t>
      </w:r>
    </w:p>
    <w:p>
      <w:r>
        <w:t>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w:t>
      </w:r>
    </w:p>
    <w:p>
      <w:r>
        <w:rPr>
          <w:b/>
        </w:rPr>
        <w:t>E. 4</w:t>
      </w:r>
    </w:p>
    <w:p>
      <w:r>
        <w:t>a) L’appelant conclut à la réduction de la contribution d’entretien mise à sa charge. Il conteste les montants retenus au titre de base mensuelle pour lui-même et son épouse, de même que la prise en compte de la somme de 1’400 fr. par an, correspondant à des amortissements, dans le calcul des intérêts hypothécaires de l’intimée. Il conteste en outre les montants retenus au titre de frais liés à la maison (par 250 fr.) et la charge fiscale de 500 fr. prise en compte dans le minimum vital de l’intimée. b) aa)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références citées; TF 5A_883/2011 du 20 mars 2012 c. 2.4). En l’espèce, il n’a à juste titre pas été contesté que la retraite anticipée de l’appelant constitue une modification essentielle et durable propre à justifier une nouvelle réglementation de la vie commune. bb) Selon l’art. 176 al. 1 ch. 1 CC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 er novembre 2013 c. 4.1 et les références citées). Le législateur n’a pas arrêté de mode de calcul pour la fixation de la contribution d’entretien. L’une des méthodes préconisées par la doctrine et considérée comme conforme au droit fédéral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 6.1; TF 5A_685/2012 c. 4.2.1.1). Selon cette méthode, lorsque le revenu total des conjoints dépasse leur minimum vital de base du droit des poursuites (art. 93 LP [loi fédérale sur la poursuite pour dettes et la faillite du 11 avril 1889,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 6.1 et les réf. citées; Perrin, La méthode du minimum vital, in SJ 1993, p. 447). c) En l’espèce, le montant de base à prendre en considération pour l’appelant, conformément aux lignes directrices pour le calcul du minimum vital du droit des poursuites selon l’art. 93 LP du 1 er juillet 2009 (BlSchK 2009, p. 196), n’est pas de 1’350 fr. (montant de base pour un débiteur monoparental), mais bien de 1’200 fr. (montant de base pour un débiteur vivant seul), comme l’a retenu à juste titre le premier juge, l’entretien de l’enfant étant compté séparément (cf. TF 5P.390/2005 du 3 février 2006 c. 2.2). S’agissant du montant de base à prendre en considération pour l’intimée, le premier juge a considéré en bref qu’il se justifiait de l’arrêter à 850 fr., soit la moitié du montant de 1’700 fr. par mois pour un couple marié, deux personnes vivant en partenariat enregistré ou un couple avec des enfants, dans la mesure où l’intimée vit avec sa fille majeure, laquelle venait de percevoir son premier salaire au moment où l’ordonnance attaquée a été rendue, ainsi qu’avec l’ami de cette dernière. Compte tenu de cette communauté de vie, c’est à juste titre qu’a été retenue la somme de 850 fr. à titre de montant de base. Le premier juge a au demeurant également tenu compte de la communauté de vie précitée s’agissant du calcul des intérêts hypothécaires et des frais liés à la maison de l’intimée, qui ont été retenus par moitié seulement dans ses charges. d) Dans le même contexte, l’appelant fait grief au premier juge d’avoir pris en compte l’amortissement de 1’400 fr. par année, soit 116 fr. 70 par mois (respectivement 58 fr. 35 compte tenu d’une prise en considération par moitié), dans le calcul des intérêts hypothécaires de l’intimée. Certes, à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(ATF 127 III 289 c. 2a/bb et les références citées; TF 5A_87/2007 du 2 août 2007 c. 3.2.2; TF 5P.498/2006 du 18 juin 2006 c. 4.4.2 résumé in: FramPra.ch 2007 p. 929; TF 5P.425/2003 du 21 avril 2004 c. 2.4). Toutefois, compte tenu de la situation financière des parties, et en particulier du disponible de l’appelant, c’est à juste titre que l’amortissement a été inclus dans les charges de l’intimée. e) L’appelant conteste les montants retenus pour les frais liés à la maison, par 250 fr. par mois (soit la moitié de 500 fr., vu la communauté de vie formée par l’intimée avec sa fille majeure et l’ami de celle-ci), ainsi que ceux relatifs à la charge fiscale de l’intimée, par 500 fr., estimant qu’ils n’ont pas été valablement démontrés par pièces. Il ne remet ainsi pas en cause la prise en considération de la charge fiscale dans le calcul du minimum vital, mais soutient que celle de son épouse n’a pas été établie. Si l’intimée n’a pas produit de pièces relatives aux frais liés à la maison, le montant retenu à ce titre, par 500 fr. (respectivement 250 fr.) doit être considéré comme établi au degré de vraisemblance requis, dans la mesure où l’intimée occupe une villa, sise sur une grande parcelle de 808 m 2 . Quant à la charge fiscale, elle était de 1’150 fr. par mois pour le couple lorsqu’a été rendu le prononcé de mesures protectrices de l’union conjugale du 18 novembre 2010. Dès lors que l’intimée percevait une contribution d’entretien s’élevant à 4’584 fr. lors de l’ouverture de l’action en divorce, respectivement du dépôt de la requête de mesures provisionnelles, le 15 avril 2013, qu’elle n’exerce pas d’activité professionnelle et ne peut ainsi pas procéder à certaines déductions sur son revenu, sa charge fiscale évaluée à 500 fr. par mois sur la base de la vraisemblance et après une administration limitée des preuves n’apparaît pas critiquable.</w:t>
      </w:r>
    </w:p>
    <w:p>
      <w:r>
        <w:rPr>
          <w:b/>
        </w:rPr>
        <w:t>E. 5</w:t>
      </w:r>
    </w:p>
    <w:p>
      <w:r>
        <w:t>a) Dans un dernier moyen, l’appelant soutient que c’est à tort qu’un revenu hypothétique lui a été imputé, faisant valoir que cette question n’a pas été valablement investiguée, dans la mesure où aucune pièce au dossier ne renseigne, notamment, sur son expérience, sa formation, sa branche d’enseignement, sa catégorie d’élèves, respectivement sur le nombre de postes d’enseignants disponibles ni sur le type d’étudiants qui pourraient être concernés. b) Lors de la fixation de la contribution d’entretien, le juge doit en principe tenir compte des revenus effectifs du débirentier. Il peut toutefois lui imputer un revenu hypothétique supérieur à celui obtenu effectivement. Il s’agit d’inciter la personne à réaliser le revenu qu’elle est en mesure de se procurer et dont on peut raisonnablement exiger qu’elle l’obtienne afin de remplir ses obligations (ATF 128 III 4 c. 4a p. 5-6; TF 5A_99/2011 du 26 septembre 2011 c. 7.4.1; TF 5A_18/2011 du 1 er juin 2011 c. 3.1.1; TF 5A_290/2010 du 28 octobre 2010 c. 3.1).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5A_99/2011 c. 7.4.1; TF 5A_18/2011 c. 3.1.1 ;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ATF 128 III 4 c. 4c/bb). c) En l’espèce, l’appelant, âgé de 61 ans, est en bonne santé. Il n’a du moins pas allégué de soucis de santé en première instance, et la pièce produite en appel n’a pas à être retenue. Même si tel avait été le cas, il n’en demeure pas moins que l’existence d’un diabète de type II en voie de s’équilibrer ne permet pas de douter de la bonne santé de l’appelant. Il ressort en outre du dossier que ce dernier est instituteur. Il percevait à ce titre, au moment où le prononcé de mesures protectrices de l’union conjugale du 18 novembre 2010 a été rendu, un revenu net, versé treize fois l’an, de 8’948 fr. 45. Il ressort de l’extrait de compte individuel produit par la Caisse cantonale de compensation qu’il a perçu en 2011 du Service du personnel de l’Etat de Vaud un salaire de 142’048 fr., respectivement de 104’501 fr. en 2012, année durant laquelle il a pris sa retraite anticipée à la rentrée scolaire 2012. Toujours selon l’extrait de son compte individuel, l’appelant a réalisé un revenu de 9’535 fr. en 2012 auprès de la Fondation de l’Ecole [...]. S’il est exact que le dossier ne comporte pas d’informations détaillées sur sa formation, il est établi et non contesté que l’appelant est instituteur et qu’il a travaillé en cette qualité jusqu’à la rentrée 2012 auprès de l’Etat de Vaud. Il ressort par ailleurs des faits retenus par le premier juge que l’appelant a œuvré comme remplaçant après avoir pris sa préretraite, et qu’il a donné des cours dans une école privée ainsi qu’à une élève, ce qui démontre qu’il est en mesure d’exercer une activité. Dans ces circonstances, c’est à bon droit que le premier juge a retenu que l’on pouvait raisonnablement attendre de l’appelant qu’il exerce une activité pour assumer ses obligations familiales jusqu’à l’âge légal de la retraite. S’agissant du salaire que l’appelant serait en mesure de réaliser, il a été fixé à 1’685 fr. 90, soit la différence entre le montant réalisé par l’appelant en qualité d’enseignant avant sa préretraite, par 9’694 fr. 15, et celui perçu à titre de pension pour lui-même et l’enfant S.________ (par 6’847 fr. 55 + 1’160 fr. 70). Compte tenu du salaire réalisé par l’appelant jusqu’à la rentrée 2012, respectivement celui qu’il a été en mesure de réaliser depuis sa préretraite, rien ne permet de remettre en cause le montant retenu par le premier juge. Il est en outre établi qu’il y a de nombreux postes vacants dans le domaine de l’enseignement, et que l’appelant peut travailler tant dans le public que le privé. Contrairement à l’arrêt dont il se prévaut (TF 5A_406/2010 du 8 septembre 2010), le parcours professionnel de l’appelant n’est pas litigieux et son cas est très éloigné de celui ayant donné lieu à dit arrêt, dans lequel il s’agissait d’un homme qui alléguait avoir cessé de travailler pour s’occuper des enfants et n’avoir pas exercé d’activité professionnelle depuis dix ans. Or, l’appelant a travaillé comme enseignant pour le compte de l’Etat de Vaud jusqu’à la rentrée 2012, et a œuvré ensuite comme remplaçant auprès de l’Etat de Vaud, et au sein d’une école privée, démontrant ainsi être apte à continuer à exercer une activité d’enseignant. Le moyen est donc mal fondé.</w:t>
      </w:r>
    </w:p>
    <w:p>
      <w:r>
        <w:rPr>
          <w:b/>
        </w:rPr>
        <w:t>E. 6</w:t>
      </w:r>
    </w:p>
    <w:p>
      <w:r>
        <w:t>On relèvera en dernier lieu que l’enfant S.________ est devenu majeur le 18 janvier 2014, postérieurement au dépôt de l’appel. Or, les répercussions de ce passage à la majorité de S.________, qui n’était jusqu’ici pas partie à la procédure, n’ont pas fait l’objet d’une instruction particulière. On peut du reste s’interroger sur le point de savoir s’il y aura lieu à l’avenir de tenir compte de la pension de 1’160 fr. 70 en faveur de cet enfant dans le revenu de l’appelant. Cette question n’a toutefois pas à être traitée ici, et fera le cas échéant l’objet d’une nouvelle requête de mesures provisionnelles.</w:t>
      </w:r>
    </w:p>
    <w:p>
      <w:r>
        <w:rPr>
          <w:b/>
        </w:rPr>
        <w:t>E. 7</w:t>
      </w:r>
    </w:p>
    <w:p>
      <w:r>
        <w:t>En conclusion, l’appel doit être rejeté et l’ordonnance confirmée. Les frais judiciaires de deuxième instance, arrêtés à 600 fr. (art. 65 al. 2 TFJC [tarif des frais judiciaires civils du 28 septembre 2010, RSV 270.11.5]) doivent être laissés à la charge de l’Etat, vu l’assistance judiciaire accordée à l’appelant (art. 106 al. 1 et 122 al. 1 let. b CPC). Dans sa liste des opérations, le conseil d’office de l’appelant indique avoir consacré dix heures au dossier, dont six heures et trente minutes à l’appel lui-même, et supporté 116 fr. de débours. Dès lors qu’il a représenté l’appelant en première instance, le temps consacré à l’appel apparaît excessif et doit être ramené à quatre heures, soit un total de sept heures et trente minutes pour l’ensemble des opérations effectuées. Au tarif horaire de 180 fr. (art. 2 al. 1 let. a RAJ [règlement sur l’assistance judiciaire en matière civile du 7 décembre 2010, RSV 211.02.3]), l’indemnité doit être fixée à 1’350 fr., montant auquel il convient d’ajouter la TVA par 108 fr., ainsi que les débours, par 125 fr. 30, TVA comprise, soit une indemnité globale de 1’583 fr. 30. Le bénéficiaire de l’assistance judiciaire est, dans la mesure de l’art. 123 CPC, tenu au remboursement des frais judiciaires et de l’indemnité du conseil d’office mis à la charge de l’Etat. L’intimée s’étant déterminée, elle a droit, vu le rejet de l’appel, à des dépens de deuxième instance, fixés à 1’200 fr. (art. 7 TDC [tarif du 23 novembre 2010 des dépens en matière civile, RSV 270.11.6]). Par ces motifs, la juge déléguée de la Cour d’appel civile du Tribunal cantonal, statuant à huis clos, prononce : I. L’appel est rejeté. II. L’ordonnance est confirmée. III. Les frais de deuxième instance, arrêtés à 600 fr. (six cents francs), sont laissés à la charge de l’Etat. IV. L’indemnité d’office de Me Luc del Rizzo, conseil d’office de l’appelant, est arrêtée à 1’583 fr. 30 (mille cinq cent huitante-trois francs et trente centimes). V. Le bénéficiaire de l’assistance judiciaire est, dans la mesure de l’art. 123 CPC, tenu au remboursement des frais judiciaires et de l’indemnité du conseil d’office mis à la charge de l’Etat. VI. L’appelant E.________ doit verser à l’intimée K.________ la somme de 1’200 fr. (mille deux cents francs) à titre de dépens de deuxième instance. VII. L’arrêt motivé est exécutoire. La juge déléguée : La greffière : Du 13 mars 2014 Le dispositif de l’arrêt qui précède est communiqué par écrit aux intéressés. La greffière : Du L’arrêt qui précède, dont la rédaction a été approuvée à huis clos, est notifié en expédition complète, par l’envoi de photocopies à : ‑ Me Luc del Rizzo, avocat (pour E.________), ‑ Me François Logoz, avocat (pour 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