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248 vom 28. März 2014</w:t>
      </w:r>
    </w:p>
    <w:p>
      <w:r>
        <w:t>VD Tribunal cantonal, 2014-03-28, FR</w:t>
      </w:r>
    </w:p>
    <w:p>
      <w:r>
        <w:rPr>
          <w:b/>
        </w:rPr>
        <w:t xml:space="preserve">Quelle: </w:t>
      </w:r>
      <w:r>
        <w:t>https://mcp.opencaselaw.ch/entscheid/vd_findinfo_HC___2014___248</w:t>
      </w:r>
    </w:p>
    <w:p>
      <w:r>
        <w:t>FR: VD_FINDINFO HC / 2014 / 248 du 28 mars 2014</w:t>
      </w:r>
    </w:p>
    <w:p>
      <w:r>
        <w:t>IT: VD_FINDINFO HC / 2014 / 248 del 28 marzo 2014</w:t>
      </w:r>
    </w:p>
    <w:p>
      <w:pPr>
        <w:pStyle w:val="Heading2"/>
      </w:pPr>
      <w:r>
        <w:t>Regeste</w:t>
      </w:r>
    </w:p>
    <w:p>
      <w:r>
        <w:t>PROTECTION DE L'UNION CONJUGALE, RELATIONS PERSONNELLES, EXPERTISE PSYCHIATRIQUE | 273 CC, 274 al. 2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provisionnelles étant régies par la procédure sommaire, selon l'art. 271 CPC, le délai pour l'introduction de l'appel est de dix jours (art. 314 al. 1 CPC). L'appel relève de la compétence d'un juge unique (art. 84 al. 2 LOJV [loi d’organisation judiciaire du 12 décembre 1979, RSV 173.01]). Les ordonnances de mesures protectrices de l’union conjugale étant régies par la procédure sommaire (art. 271 CPC), le délai pour l’introduction de l’appel est de dix jours (art. 314 al. 1 CPC). En l’espèce, interjeté en temps utile par une personne qui y a un intérêt, dans un litige à caractère partiellement non patrimonial,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Toutefois,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 En l'espèce, dès lors que la cause porte sur la question des relations personnelles avec des enfants mineurs, le litige est régi par la maxime inquisitoire illimitée de l'art. 296 CPC (Hohl, Procédure civile, Tome II, 2 e éd., Berne 2010, nn. 1166 ss et 2414 ss). Les pièces produites par les parties et qui concernent des faits postérieurs au jugement de première instance doivent dès lors être prises en considération.</w:t>
      </w:r>
    </w:p>
    <w:p>
      <w:r>
        <w:rPr>
          <w:b/>
        </w:rPr>
        <w:t>E. 3</w:t>
      </w:r>
    </w:p>
    <w:p>
      <w:r>
        <w:t>a) L’appelant soutient qu’aucun élément du dossier n’atteste d’un quelconque risque d’atteinte au développement des enfants justifiant une limitation du droit de visite à deux heures deux fois par mois, même au stade de la vraisemblance, et que le premier juge se serait fondé uniquement sur les dires de B.F.________, laquelle tenterait manifestement d’instrumentaliser la justice pour l’écarter de l’éducation de ses enfants. En effet, aucun des écrits de l’appelant ne contiendrait de menaces envers son épouse ou les enfants, ces textes faisant tout au plus état d’invitation à la pénitence. L’appelant, qui rappelle qu’en tant que guide de montagne, la responsabilité de vies humaines, dont celles d’enfants, lui est régulièrement confiée, se réfère au certificat médical établi le 6 avril 2013 par le Dr  [...], lequel attestait que les enfants étaient en parfaite santé. Il fait également valoir que rien n’aurait changé depuis la convention conclue en août 2013 accordant un droit de visite élargi en sa faveur, ses convictions religieuses ne constituant pas un fait nouveau. Enfin, selon l’appelant, le formulaire de signalement rempli par le Dr [...] le 29 septembre 2013 ne serait fondé que sur les dires de B.F.________ et serait révélateur de la stratégie de cette dernière. b) aa) 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5A_756/2013 du 9 janvier 2014 c. 5.1.2; TF 5P.131/2006 du 25 août 2006; Hegnauer, Droit suisse de la filiation,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L’importance à accorder à l’opinion de l’enfant concerné, lorsqu’il s’agit d’organiser des relations personnelles, dépend de l’âge de celui-ci (FamPra.ch 2009 p. 740 c. 5.1). c) En l’espèce, contrairement à ce qu’allègue l’appelant, le signalement du 29 septembre 2013 du Dr [...] constitue un fait nouveau, dans la mesure notamment où celle-ci observe – sans qu’il soit question des dires de la mère – qu’E.________ est un enfant « fort inhibé, passif et soumis dans sa relation », au contraire des déclarations du Dr  [...] faites au mois d’avril 2013, soit plusieurs mois auparavant. Ce signalement atteste que l’évolution de cet enfant, âgé de seulement cinq ans, n’est pas bonne. Or, il y a lieu d’admettre, au stade de la vraisemblance, que cette mauvaise évolution est en relation directe avec le comportement du père, qui paraît littéralement envahi d’un mysticisme qui prend le pas sur sa raison, étant notamment persuadé de détenir seul la Vérité et que le monde sera anéanti en 2017. Il va de soi que l’intérêt des enfants prime, et il n’est pas question ici de juger des croyances de l’appelant. Par ailleurs, il n’est pas contesté que la souffrance qu’il exprime est sincère. Toutefois, l’argumentation de l’appelant selon laquelle il saurait faire la part des choses entre une éducation religieuse normale et ses convictions plus personnelles, qui mettent en évidence des idées délirantes, ne peut être suivie, dès lors qu’il résulte des pièces du dossier que même lorsqu’il s’adresse à des tiers, l’appelant revient à chaque fois sur les thèmes qui lui sont chers : le Bien et le Mal, l’adultère, la repentance, l’enfer, la haine, le Jugement de Dieu, ou encore la lutte contre le Mal à l’aide du « Rosaire de Marie ». Les longues et denses lettres adressées à la psychologue des enfants E.________ et G.________, respectivement au premier juge, sont édifiantes à cet égard. Par exemple, les conclusions de sa requête de mesures protectrices de l’union conjugale du 26 janvier 2014 contiennent des propos tels que : « toute voie autre que le retour total et radical à Jésus-Christ […] est sans issue et provoquera à terme un mal beaucoup plus grand ». Ainsi, au stade la vraisemblance, il paraît inimaginable que l’appelant puisse s’en tenir à un discours « limité » lorsqu’il s’agit d’éduquer ses enfants dans la foi catholique, tant ses convictions religieuses, objectivement terrorisantes en ce qu’elles se réfèrent systématiquement à l’apocalypse, au Jugement dernier ou à l’expiation des fautes, semblent l’obséder. L’appelant expose à ses enfants, âgés de seulement quatre et six ans, que le monde va disparaître, ce qui est particulièrement alarmant. Son récit de Noël comprend un méchant personnage cherchant à emporter les enfants dans les ténèbres, et les enfants doivent dès lors garder le « bébé Jésus » dans leur poche « jusqu’à ce qu’il revienne dans environ quatre ans », ce qui constitue une référence directe à la fin du monde. En outre, dans sa lettre du 11 janvier 2014, l’appelant n’hésite pas à faire croire à ses enfants qu’un dragon, qui a « beaucoup d’argent », l’empêcherait de les voir, alors que c’est de son propre chef qu’il ne s’est pas présenté au Point Rencontre, préférant ne pas voir ses enfants tant que le droit de visite s’exercerait par ce biais. L’appelant apparaît ainsi, à ce stade de la procédure, comme une personne intransigeante, autoritaire et culpabilisante. En avril 2013 déjà, le SPJ constatait que l’appelant avait du mal à dissocier le conflit parental des questions relatives aux enfants. Force est de constater qu’il n’a pas modifié son comportement à cet égard, allant jusqu’à intégrer à son récit de Noël des questions liées à la liquidation de son patrimoine, expliquant aux enfants qu’il leur laissait « la grosse somme d’argent qui appartient à papa et qui est cachée dans la maison aux [...]», et que « maman enverra les papiers à papa pour authentifier cet Acte d’Amour ». L’appelant soutient que son épouse tente de le faire passer pour dangereux, alors qu’il ne s’est jamais montré menaçant envers elle ou les enfants, et qu’il est par ailleurs un guide de montagne responsable. Ce faisant, il oublie que ce sont ses propos alarmistes et extrêmes, propres à perturber gravement ses enfants, qui ont motivé la mise en œuvre du droit de visite pas le biais du Point Rencontre. L’appelant a une personnalité inquiétante ; il est persuadé que la justice des Hommes n’est pas la bonne et conduira ses enfants « dans la même déchéance que leur mère ». Il ne semble pas comprendre que les idées de fin du monde et de pénitence systématique peuvent s’avérer traumatisantes. Son attitude est à l’évidence néfaste pour le développement des enfants et fait craindre le pire. Il se justifie donc de les protéger jusqu’à droit connu sur les conclusions de l’expertise pédopsychiatrique. La décision du premier juge doit dès lors être confirmée.</w:t>
      </w:r>
    </w:p>
    <w:p>
      <w:r>
        <w:rPr>
          <w:b/>
        </w:rPr>
        <w:t>E. 4</w:t>
      </w:r>
    </w:p>
    <w:p>
      <w:r>
        <w:t>En définitive, l'appel doit être rejeté et le prononcé confirmé. Les frais de deuxième instance, arrêtés à 1'000 fr. (art. 65 al. 3 TFJC [tarif des frais judiciaires civils du 28 septembre 2010, RSV 270.11.5]), sont mis à la charge de l'appelant, qui succombe (art. 106 al. 1 CPC). L'appelant doit en outre verser à l'intimée la somme de 1'200 fr. à titre de dépens de deuxième instance ( art. 106 al. 1 CPC) . Par ces motifs, le juge délégué de la Cour d’appel civile du Tribunal cantonal, statuant à huis clos, prononce : I. L’appel est rejeté. II. Le prononcé est confirmé. III. Les frais judiciaires de deuxième instance, arrêtés à 1'000 fr. (mille francs), sont mis à la charge de l’appelant A.F.________. IV. L’appelant A.F.________ doit payer à l’intimée B.F.________ la somme de 1'200 fr. (mille deux cents francs) à titre de dépens de deuxième instance. V. L’arrêt est exécutoire. Le juge délégué : La greffière : Du L'arrêt qui précède, dont la rédaction a été approuvée à huis clos, est notifié à : ‑ Me Alain Dubuis, avocat (pour A.F.________), ‑ Me Nicolas Mattenberger, avocat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