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247 vom 3. März 2014</w:t>
      </w:r>
    </w:p>
    <w:p>
      <w:r>
        <w:t>VD Tribunal cantonal, 2014-03-03, FR</w:t>
      </w:r>
    </w:p>
    <w:p>
      <w:r>
        <w:rPr>
          <w:b/>
        </w:rPr>
        <w:t xml:space="preserve">Quelle: </w:t>
      </w:r>
      <w:r>
        <w:t>https://mcp.opencaselaw.ch/entscheid/vd_findinfo_HC___2014___247</w:t>
      </w:r>
    </w:p>
    <w:p>
      <w:r>
        <w:t>FR: VD_FINDINFO HC / 2014 / 247 du 3 mars 2014</w:t>
      </w:r>
    </w:p>
    <w:p>
      <w:r>
        <w:t>IT: VD_FINDINFO HC / 2014 / 247 del 3 marzo 2014</w:t>
      </w:r>
    </w:p>
    <w:p>
      <w:pPr>
        <w:pStyle w:val="Heading2"/>
      </w:pPr>
      <w:r>
        <w:t>Regeste</w:t>
      </w:r>
    </w:p>
    <w:p>
      <w:r>
        <w:t>MODIFICATION DES CIRCONSTANCES, OBLIGATION D'ENTRETIEN, REVENU HYPOTHÉTIQUE, PROTECTION DE L'UNION CONJUGALE | 159 CC, 179 CC, 317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(Tappy, op. cit., in JT 2010 III 115 ss, p. 126). Le Juge délégué de la Cour d’appel civile est compétent pour statuer en qualité de juge unique sur un appel formé contre une ordonnance de mesures protectrices de l’union conjugale,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2010, n. 2414 p. 438).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les pièces produites par l’appelant sont postérieures au prononcé attaqué, de sorte qu’elles sont recevables. Concernant les pièces produites par l’intimée, les décomptes des indemnités de chômage perçues par l’appelant pour les mois de mars à novembre 2013, ainsi que la décision de suspension de son droit au chômage, figurent déjà au dossier de première instance, de sorte qu’il n’est pas nécessaire d’examiner leur recevabilité. Il en est de même en ce qui concerne le contrat de bail à loyer conclu par l’appelant. Le décompte de salaire de l’intimée du mois de décembre 2013 étant postérieur au prononcé attaqué, il est également recevable. En revanche, l’intimée n’explique pas les raisons qui l’auraient empêchée de produire en première instance les décomptes de chômage de l’appelant pour les mois d’octobre à décembre 2012. Dans la mesure où ces pièces portent sur des faits que l’on peut considérer comme implicitement admis par les parties, en particulier lors de la signature de la convention du 26 février 2013, elles peuvent être considérées comme recevables (cf. infra c. 4c/aa)). Pour ce qui concerne le fait nouveau allégué par l’appelant en ce qui concerne ses frais de recherche d’emploi à hauteur de 150 fr., l’appelant ne produit aucune pièce permettant de les prouver et de l’établir. Ce nouveau fait ne saurait dès lors être retenu, ni pris en considération pour le calcul du minimum vital de l’appelant (cf. infra c. 4c/aa)), quand bien même il est indiqué dans la détermination du minimum d’existence de l’appelant établie par l’Office des poursuites d’Aigle.</w:t>
      </w:r>
    </w:p>
    <w:p>
      <w:r>
        <w:rPr>
          <w:b/>
        </w:rPr>
        <w:t>E. 3</w:t>
      </w:r>
    </w:p>
    <w:p>
      <w:r>
        <w:t>a) L’appelant invoque une constatation inexacte des faits alléguant que ses frais de chauffage électrique et d’eau chaude se montent à 200 fr. par mois au lieu de 100 fr. par mois, tel que retenus par le premier juge. b) Dans le cadre de mesures provisionnelles ou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c) En l’espèce, le contrat de bail ne dit rien quant au montant mensuel à payer pour les frais accessoires et l’appelant ne produit aucune pièce permettant d’établir qu’il paie chaque mois la somme de 200 fr. à ce titre. Dès lors, le montant de 100 fr. retenu par le premier juge pour les frais accessoires paraît raisonnable et vraisemblable. Dans la mesure où l’intimée a fait valoir des frais accessoires à hauteur de 200 fr. par mois pour l’eau chaude et le chauffage produits par une installation électrique sans pour autant fournir de pièces à l’appui, seul un montant de 100 fr. par mois sera retenu, de façon à respecter une égalité de traitement entre les parties.</w:t>
      </w:r>
    </w:p>
    <w:p>
      <w:r>
        <w:rPr>
          <w:b/>
        </w:rPr>
        <w:t>E. 4</w:t>
      </w:r>
    </w:p>
    <w:p>
      <w:r>
        <w:t>a) L’appelant conteste l’absence de modification des circonstances depuis qu’il a signé la convention, le 26 février 2013. Son épouse ayant eu des activités rémunérées au cours de l’année 2013, elle a démontré qu’elle pouvait travailler. Il convient ainsi de lui imputer un revenu hypothétique, estimé à un salaire moyen de 2'153 fr. 75 ; elle pourrait en effet travailler comme femme de ménage dans un hôtel comme le fait sa fille. Le principe du clean-break devrait s’appliquer, les parties étant séparées depuis plus d’une année et aucun espoir de reprise de la vie commune n’existant. L’appelant prétend en outre que le minimum vital de base de son épouse est inférieur au sien, dans la mesure où elle partage son logement avec sa fille. L’appelant prétend que son minimum vital se monte à 2'477 fr. au moins, dont 600 fr. de loyer, 200 fr. de frais accessoires, 150 fr. de frais de recherches d’emploi et 327 fr. de frais d’assurance - maladie et que ses revenus mensuels sont de 3'100 fr. en moyenne, de sorte que le solde disponible est de 623 fr. au maximum. L’intimée invoque que les indemnités de chômage perçues par l’appelant sont d’un montant semblable à celles qu’il touchait lors de la signature de la convention du 26 février 2013 et que les charges mensuelles de l’appelant n’excèdent pas 2'084 francs. L’appelant effectuerait même quelques activités rémunérées supplémentaires. En outre, titulaire d’un permis L, elle n’est pas en mesure de recevoir de l’aide de la part de l’assistance sociale. b/aa)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et réf.; sur le tout: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b/bb) La jurisprudence a précisé que lorsqu'on ne peut plus sérieusement compter sur une reprise de la vie commune même dans le cadre de mesures protectrices, le but de rendre les époux financièrement indépendants gagne en importance et qu'il faut dès lors se référer aux critères applicables à l'entretien après le divorce (TF 5A_710/2009 du 22 février 2010 c. 4.1 et les réf. cit.; TF 5A_205/2010 c. 4.2.3, publié in: FamPra.ch 2010 p. 894). Le sens de cette jurisprudence a cependant été précisé en ce sens que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 er décembre 2011 c. 5.1; TF 5A_475/2011 du 12 décembre 2011 c. 4.1) La prise en considération des critères applicables à l'entretien après divorce ne signifie pas que le juge des mesures provisionnelles ou protectrices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ou protectrices. De même, à lui seul, le fait que l'épouse dispose d'un disponible après couverture de son minimum vital n'est pas décisif non plus (TF 5A_228/2012 du 11 juin 2012 c. 4.3). De même encore, l'absence de perspectives de réconciliation ne justifie pas à elle seule la suppression de toute contribution d'entretien (TF 5A_304/2013 du 1 er novembre 2013 c. 4.1). b/cc)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Das Lohnbuch 2014 : Mindestlöhne sowie orts- und berufsübliche Löhne ermittelt durch den Leistungsbereich Arbeitsbedingungen des Amtes für Wirtschaft und Arbeit des Kantons Zürich in Zusammenarbeit mit Arbeitgeber- und Arbeitnehmerverbänden / Philipp Mülhauser ; Hrsg.: Volkswirtschaftsdirektion des Kantons Zürich, Amt für Wirtschaft und Arbeit, Arbeitsbedingungen . - Zürich : Orell Füssli, 2014 ;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b/dd) Aux termes de l’art. 159 CC, le devoir d’assistance entre époux prime l’obligation d’entretien des parents en ligne directe prévue à l’art. 328 CC (de Luze/Page/Stoudmann, Droit de la famille, 2013, n. 3.2 ad art. 159 CC ; ATF 59 II 1 c. 3). c/aa) En l’espèce, la contribution d’entretien avait été fixée initialement à 1'700 francs. Le premier juge avait considéré que l’appelant n’étant au chômage que depuis un mois, l’on n’était pas dans un cas de versement régulier d’indemnités de chômage. Estimant que l’on pouvait exiger de l’appelant, ouvrier experimenté, qu’il entreprenne tout ce qu’on pouvait raisonnablement attendre de lui pour retrouver un emploi rapidement, le premier juge avait retenu un revenu de 4'100 fr. dans le calcul du minimum vital de l’appelant, au lieu d’un montant de l’ordre de 3'000 francs. Toutefois, la diminution des revenus de l’appelant résultant du versement des indemnités de chômage a été prise en compte implicitement lorsque les parties se sont accordées sur une contribution d’entretien de 1'050 fr. par mois, selon convention ratifiée pour valoir arrêt sur appel de mesures protectrices de l’union conjugale le 13 février 2013. Ce montant a été calculé de façon à tenir compte des revenus perçus par l’appelant pour les mois d’octobre, novembre et décembre 2012, soit des indemnités nettes de chômage de 1'920 fr. 50, 3'191 fr. et 3'066 fr. 25, soit un montant moyen de l’ordre de 3'000 francs. Or, à l’audience du 26 février 2013 tenue devant le premier juge, l’appelant a à nouveau donné son accord pour le versement d’une contribution d’entretien de 1'050 fr. par mois. Ce montant correspond d’ailleurs au calcul du minimum vital de l’appelant calculé en tenant compte des indemnités de chômage qu’il a continué à percevoir de l’ordre de 3'300 fr. de mars à décembre 2013 ([3'066 fr. 50 + 3'191 fr. 25 + 3'318 fr. 95 + 2'932 fr. 75 + 3'318 fr. 95 + 3'227 fr. 90 + 2'966 fr. 05 + 1'807 fr. + 3'259 fr. 10] / 9, le mois d’octobre 2013 n’étant pas pris en considération dans le calcul vu la suspension du droit aux indemnités), de même qu’en janvier et février 2014 (3'436 fr. 25 et 3'227 fr. 05). Dès lors, au moment du dépôt de le requête de mesures protectrices de l’union conjugale du 11 septembre 2013, aucun fait nouveau n’est survenu en ce qui concerne les revenus de l’appelant. Pour ce qui concerne les charges incompressibles de l’appelant, elles se montent à 2'184 fr. (1'200 fr. + 600 fr. + 100 fr. + 284 fr. 10), tel que l’a retenu le premier juge. Les primes à payer pour des assurances non obligatoires ne peuvent pas être prises en compte pour calculer le minimum d’existence (ATF 134 III 323 ss), de sorte que la prime d’assurance complémentaire de 35 fr. assumée par l’appelant ne saurait être retenue dans le calcul. Il reste ainsi un solde de l’ordre de 1'116 fr. à l’appelant qui lui permet de payer la contribution d’entretien convenue entre les parties à 1'050 fr. par mois, permettant ainsi à l’intimée de couvrir partiellement ses charges incompressibles qui se montent au moins à 1'837 fr. 05 (1'200 fr. + [280 / 2] + [100 / 2] + 447 fr. 05). L’on observe d’ailleurs que le montant global des charges actuelles de l’appelant est du même ordre que celui retenu dans le prononcé du 6 novembre 2012 fixant la contribution à 1'700 fr. par mois (1'200 fr. + 331 fr. 40 + 800 fr.). Quant aux activités déployées par l’intimée au cours des mois d’avril à août 2013 puis en décembre 2013, elles étaient brèves et temporaires. On ne saurait donc admettre la survenance d’une modification majeure et durable des circonstances. L’intimée avait d’ailleurs déjà exercé des activités intérimaires avant de travailler six mois dans un hôtel au début de l’année 2012, soit bien avant que ne soit fixée la contribution d’entretien contestée. Dès lors, aucun fait nouveau n’est survenu de ce chef. c/bb) Invoquant les activités exercées temporairement par l’intimée et la séparation d’une année avec cette dernière, l’appelant invoque qu’un revenu hypothétique de l’ordre de 2'100 fr. devrait lui être imputé. Or, l’intimée est âgée de 49 ans et est sans formation professionnelle. Le mariage des époux ayant duré au moins 26 ans et les époux n’étant séparés que depuis fin octobre 2012, soit à peine une année au moment du dépôt de la requête de l’appelant, l’on ne saurait astreindre l’intimée à reprendre immédiatement une activité professionnelle, cela d’autant moins que l’on peut présumer, au vu des circonstances, que les époux avaient adopté une répartition classique des rôles pendant leur vie commune, l’appelant exerçant une activité professionnelle à plein temps et l’intimée s’occupant principalement des enfants et du ménage (cf. TF 5A_98/2013 du 19 avril 2013 c. 3.2). S’il est vrai que l’intimée a pu exercer des activités temporaires en qualité de nettoyeuse, cela n’implique pas pour autant qu’elle retrouvera facilement une telle activité lui permettant de subvenir à ses besoins. En établissant que la fille de l’intimée travaille en qualité de nettoyeuse à 100%, l’appelant n’a pas pour autant rendu vraisemblable que l’intimée trouverait une activité semblable, ce qui paraît d’ailleurs plus difficile sachant que son permis L expire prochainement. c/cc) Par surabondance, même si l’appelant considère qu’aucun espoir de reprise de vie commune ne saurait être envisagé, cela ne saurait justifier d’appliquer le principe du clean-break, sachant que leur séparation est d’à peine plus d’une année alors que leur vie commune a duré 26 ans. La cause de l’obligation d’entretien entre époux demeurant l’art. 163 CC, l’appelant demeure dès lors tenu de contribuer à l’entretien de son épouse. Contrairement à ce qu’il allègue, il n’y a pas lieu de réduire la contribution d’entretien au motif que l’intimée vit avec sa fille, indépendante financièrement, et que son minimum vital serait ainsi moindre. D’une part, l’obligation d’entretien de l’appelant prime l’obligation d’entretien de leur fille envers l’intimée. D’autre part, même si le minimum vital de base de l’intimée devait être réduit de moitié, la contribution d’entretien fixée à 1'050 fr. ne saurait couvrir le déficit, sachant que les charges incompressibles calculées à hauteur de 1'837 fr. 05 ne comprennent que la moitié du loyer et des frais accessoires, n’incluant même pas les frais d’électricité.</w:t>
      </w:r>
    </w:p>
    <w:p>
      <w:r>
        <w:rPr>
          <w:b/>
        </w:rPr>
        <w:t>E. 5</w:t>
      </w:r>
    </w:p>
    <w:p>
      <w:r>
        <w:t>Au vu de ce qui précède, l’appel doit être rejeté et le prononcé attaqué confirmé.</w:t>
      </w:r>
    </w:p>
    <w:p>
      <w:r>
        <w:rPr>
          <w:b/>
        </w:rPr>
        <w:t>E. 6</w:t>
      </w:r>
    </w:p>
    <w:p>
      <w:r>
        <w:t>Vu l’issue du litige, les frais judiciaire de deuxième instance, arrêtés à 757 fr. (600 fr. + 157 fr. de frais d’interprète) (art. 106 al. 1 CPC ; art. 65 al. 2 et 91 al. 91 TFJC [tarif des frais judiciaires civils du 28 septembre 2010, RSV 270.11.5]), seront laissés à la charge de l’Etat, l’appelant bénéficiant de l’assistance judiciaire (art. 122 al. 1 let. b CPC). L’appelant versera en outre à l’intimée des dépens de deuxième instance, arrêtés à 2'170 fr. (art. 122 al.1 let. d CPC ; art. 7 TDC [tarif des dépens en matière civile du 23 novembre 2010, RSV 270.11.6]). Pour le cas où ces dépens ne pourraient pas être recouvrés (art. 122 al. 2 CPC ; art. 4 RAJ [règlement sur l’assistance judiciaire en matière civile du 7 décembre 2010, RSV 211.02.3]), l’indemnité d’office de Me Jérôme Campart, conseil de l’intimée, sera arrêtée à 1’226 fr. 30 (art. 122 al. 1 let. a CPC ; art. 2 al. 1 RAJ), soit 1'116 fr. comprenant l’heure de vacation et 19. fr. 45 de débours, plus TVA à 8%. Il se justifie de ne retenir que 6,2 heures de travail consacrées à ce dossier, audience comprise, le temps indiqué de 8 heures sans audience étant excessif pour un dossier de cette nature. L’indemnité d’office de Me Kathrin Gruber, conseil de l’appelant, doit être fixée à 1'026 fr. au vu de sa liste des opérations (art. 122 al. 1 let. a CPC ; art. 2 al. 1 RAJ), soit 810 fr. d’honoraires (4,5 x 180 fr.), 120 fr. de frais de vacation et 20 fr. de débours, plus TVA à 8%. Conformément à l’art. 123 CPC, les parties sont tenues de rembourser les frais judiciaires et l’indemnité de leur conseil d’office respectif mis à la charge de l’Etat, dès qu’elles seront en mesure de le faire. Par ces motifs, le Juge délégué de la Cour d’appel civile du Tribunal cantonal, statuant à huis clos, prononce : I. L’appel est rejeté. II. L’ordonnance est confirmée. III. Les frais judiciaires de deuxième instance, arrêtés à 757 fr. (sept cent cinquante-sept francs) pour l’appelant Z.________, sont laissés à la charge de l’Etat. IV. L’appelant Z.________ doit verser à l’intimée L.________ le montant de 2'170 fr. (deux mille cent septante francs) à titre de dépens de deuxième instance. V. L’indemnité d’office de Me Kathrin Gruber, conseil de l’appelant, est fixée à 1'026 fr. (mille vingt-six francs), TVA et débours compris, pour la procédure de deuxième instance. VI. L’indemnité d’office de Me Jérôme Campart, conseil d’office de l’intimée, est fixée à 1’226 fr. 30 (mille deux cent vingt-six francs et trente centimes), TVA et débours compris, pour la procédure de deuxième instance. VII. Les bénéficiaires de l’assistance judiciaire sont, dans la mesure de l’art. 123 CPC, tenus au remboursement des frais judiciaires et de l’indemnité versée à leur conseil d’office respectif mis à la charge de l’Etat. VIII. L’arrêt motivé est exécutoire. Le juge délégué : La greffière : Du L'arrêt qui précède, dont la rédaction a été approuvée à huis clos, est notifié à : ‑ Me Kathrin Gruber (pour l’appelant), ‑ Me Jérôme Campart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