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230 vom 3. Februar 2014</w:t>
      </w:r>
    </w:p>
    <w:p>
      <w:r>
        <w:t>VD Tribunal cantonal, 2014-02-03, FR</w:t>
      </w:r>
    </w:p>
    <w:p>
      <w:r>
        <w:rPr>
          <w:b/>
        </w:rPr>
        <w:t xml:space="preserve">Quelle: </w:t>
      </w:r>
      <w:r>
        <w:t>https://mcp.opencaselaw.ch/entscheid/vd_findinfo_HC___2014___230</w:t>
      </w:r>
    </w:p>
    <w:p>
      <w:r>
        <w:t>FR: VD_FINDINFO HC / 2014 / 230 du 3 février 2014</w:t>
      </w:r>
    </w:p>
    <w:p>
      <w:r>
        <w:t>IT: VD_FINDINFO HC / 2014 / 230 del 3 febbraio 2014</w:t>
      </w:r>
    </w:p>
    <w:p>
      <w:pPr>
        <w:pStyle w:val="Heading2"/>
      </w:pPr>
      <w:r>
        <w:t>Regeste</w:t>
      </w:r>
    </w:p>
    <w:p>
      <w:r>
        <w:t>MODÉRATION, HONORAIRES, NOTAIRE | 120 LNo, 121 LNo</w:t>
      </w:r>
    </w:p>
    <w:p>
      <w:pPr>
        <w:pStyle w:val="Heading2"/>
      </w:pPr>
      <w:r>
        <w:t>Erwägungen</w:t>
      </w:r>
    </w:p>
    <w:p>
      <w:r>
        <w:rPr>
          <w:b/>
        </w:rPr>
        <w:t>E. 1</w:t>
      </w:r>
    </w:p>
    <w:p>
      <w:r>
        <w:t>a) Selon l’art. 120 al. 3 LNo (Loi du 29 juin 2004 sur le notariat ; RSV 178.11), la décision de modération est susceptible de recours au Tribunal cantonal dans un délai de dix jours dès sa communication. Interjeté en temps utile par des personnes qui y ont intérêt, le recours est recevable. b) La Chambre des recours civile est l’autorité de recours compétente en la matière (art. 73 al. 2 LOJV [loi du 12 décembre 1979 d’organisation judiciaire ; RSV 173.01]).</w:t>
      </w:r>
    </w:p>
    <w:p>
      <w:r>
        <w:rPr>
          <w:b/>
        </w:rPr>
        <w:t>E. 2</w:t>
      </w:r>
    </w:p>
    <w:p>
      <w:r>
        <w:t>a) Dès lors que l'art. 2 al. 1 LPA-VD (Loi du 28 octobre 2008 sur la procédure administrative; RSV 173.36) prévoit l'application de cette loi à toute décision rendue par une autorité administrative ou de justice administrative du canton ou des communes et que le LNo n'exclut pas expressément l'application de la LPA-VD, il y a lieu de considérer que cette loi régit également la procédure de modération des notes d'honoraires des notaires (JT 2013 III 121). b) Selon l’art. 98 LPA-VD, la partie recourante peut invoquer la violation du droit, y compris l’excès ou l’abus du pouvoir d’appréciation (let. a), la constatation inexacte ou incomplète des frais pertinents (let. b) et l’inopportunité si la loi spéciale le prévoit (Bovay/Blanchard/Grisel Rapin, Procédure administrative vaudoise, 2012, n. 1 ad art. 98 LPA-VD, p. 442 et références). Elle ne peut prendre des conclusions qui sortent du cadre fixé par la décision attaquée, mais peut en revanche présenter des allégués et des moyens de preuve qui n’ont pas été invoqués jusque-là (art. 79 al. 2 LPA-VD applicable par renvoi de l’art. 99 LPA-VD). La Chambre des recours civile dispose d’un libre pouvoir d’examen en fait et en droit, constituant ainsi une véritable juridiction d’appel (art. 28 et 41 LPA-VD ; Bovay/Blanchard/Grisel Rapin, op. cit., n. 3 ad art. 41 LPA-VD, pp. 141-142 ; Bovay, Procédure administrative, 2000, p. 396 et références ; JT 2006 III 38 c. 2a ; JT 2003 III 67). c) Vu ce qui précède, les pièces produites par les recourants sont recevables.</w:t>
      </w:r>
    </w:p>
    <w:p>
      <w:r>
        <w:rPr>
          <w:b/>
        </w:rPr>
        <w:t>E. 3</w:t>
      </w:r>
    </w:p>
    <w:p>
      <w:r>
        <w:t>a) L’art. 121 al. 1 LNo prévoit que la procédure de modération peut être suspendue jusqu’à droit connu sur une prétention en responsabilité civile, ou sur une prétention opposée en compensation. L’art. 121 al. 2 LNo dispose que les décisions rendues en modération fixent définitivement, au même titre qu’un jugement, les honoraires et débours ministériels ; s’il n’ y a pas eu suspension, en raison d’une exception de compensation, cette exception reste réservée. b) La question se pose de savoir si, lorsque le litige n’est pas porté devant le juge civil, les questions éventuelles de compensation ou de responsabilité doivent être tranchées par l’autorité de modération. Schlaeppi (La rémunération du notaire de tradition latine, 2009, p. 147) est d’avis que l’autorité de modération tranchera ces questions à titre préjudiciel, sans toutefois lier le juge civil sur ces points. c) En l’espèce, il n’apparaît pas que les recourants aient saisi les tribunaux civils sur la question de la compensation, de sorte que la question de la suspension de la procédure de modération ne se pose pas. S’agissant de la compensation invoquée par les recourants du montant de 600 fr. figurant dans la facture du 22 octobre 2012 et concernant l’établissement de deux projets de vente à terme conditionnelle, que les recourants entendent compenser avec les montants retenus par la Chambre des notaires de 448 fr.15 et de 1’333 fr. 40 — qui correspondent à des actes de vente définitifs mais non instrumentés —, dès lors que l’art. 120 al. 3 LNo réserve expressément la compensation, on ne saurait suivre l’avis exprimé par Schlaeppi, ce d’autant que le juge civil ne serait pas lié par cet examen préjudiciel; point n’est donc besoin d’examiner cette question plus avant dans la présente procédure de modération. Même à supposer qu’il faille suivre l’avis exprimé par Schlaeppi sur l’examen à titre préjudiciel de la question de la compensation, la compensation de ce montant de 600 fr. n’a pas été soulevée par les recourants dans leur détermination du 23 mai 2013 sur la modération sollicitée par le notaire quant à la facture du 1 er février 2013. La procédure en modération de première instance a ainsi exclusivement porté sur le seul montant contesté alors par les clients, soit les honoraires facturés le 1 er février 2013 à l’exclusion du montant non contesté des honoraires de la facture du 22 octobre 2012, qui n’a, à juste titre, pas fait l’objet d’une instruction en première instance et dont on ignore si elle a en définitive été honorée, de sorte que l’on ne voit pas que les conditions pour admettre une compensation (art. 120 CO) entre ces deux factures seraient réalisées à cet égard. Au demeurant, il ressort du dossier que les notes d'honoraires ne se recoupent pas dès lors que celle du 22 octobre 2012 porte sur les opérations effectuées du 16 mars au 2 juillet 2012 et que celle du 1 er février 2013 porte sur les opérations effectuées du 12 novembre 2012 au 29 janvier 2013. d) S’agissant de la compensation avec le prétendu nouveau dossier de géomètre d’un montant de 380 fr., argument qui a été soulevé dans la détermination des recourants du 23 mai 2013, aucune pièce au dossier ne permet d’étayer la réalité de ce fait, voire du montant allégué, dont il n’est en particulier pas fait mention dans les factures du notaire, de sorte que l’on ne saurait pas non plus admettre, s’il fallait l’examiner, une compensation à ce titre. e) S’agissant du montant de 750 fr., admis par la Chambre des modérations à titre d’opérations préliminaires et accessoires (courriels, entretiens téléphoniques, correspondance, etc.), les recourants n’exposent pas pour quelle raison ils entendent les réduire à 350 fr. Ce montant a été ramené par l’autorité précédente de 1’400 fr. à 750 fr., en tenant compte d’un tarif horaire de 300 fr. généralement appliqué par la profession, soit de 50 fr. par correspondance (équivalant à 10 minutes par correspondance) et de 30 fr. par courriel (équivalant à 6 minutes par correspondance). Au vu du nombre de courriels (quelques huit courriers) et de correspondances (environ une douzaine) au dossier, le montant de 750 fr. est correct, si l’on approuve le tarif retenu dans la branche pour les courriels et correspondances, qui paraît correct lui aussi, de sorte que l'appréciation de l'autorité de première instance ne prête pas le flanc à la critique.</w:t>
      </w:r>
    </w:p>
    <w:p>
      <w:r>
        <w:rPr>
          <w:b/>
        </w:rPr>
        <w:t>E. 4</w:t>
      </w:r>
    </w:p>
    <w:p>
      <w:r>
        <w:t>Il s’ensuit que le recours doit être rejeté. Les frais judiciaires de deuxième instance, arrêtés à 300 fr. (art. 1 al. 1 et 4 al. 3 TFJAP [tarif des frais judiciaires en matière de droit administratif et public; RSV 173.36.5.1]), sont mis à la charge des recourants, qui succombent (art. 91 LPA-VD). Il n'y a pas lieu à l'allocation de dépens de deuxième instance, la partie intimée n'ayant pas été invitée à se déterminer. Par ces motifs, la Chambre des recours civile du Tribunal cantonal, statuant à huis clos, en application de l'art. 322 al. 1 CPC, prononce : I. Le recours est rejeté. II. La décision est confirmée. III. Les frais judiciaires, arrêtés à 300 fr. (trois cents francs), sont mis à la charge des recourants A. et B.N.________, solidairement entre eux. IV. L’arrêt motivé est exécutoire. Le président :               Le greffier : Du 3 février 2014 Le dispositif de l'arrêt qui précède est communiqué par écrit aux intéressés. Le greffier : Du L'arrêt qui précède, dont la rédaction a été approuvée à huis clos, est notifié en expédition complète, par l'envoi de photocopies, à : ‑ M. A.N.________ et Mme B.N.________, ‑ Me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la : ‑ Chambre des notaires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