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227 vom 24. März 2014</w:t>
      </w:r>
    </w:p>
    <w:p>
      <w:r>
        <w:t>VD Tribunal cantonal, 2014-03-24, FR</w:t>
      </w:r>
    </w:p>
    <w:p>
      <w:r>
        <w:rPr>
          <w:b/>
        </w:rPr>
        <w:t xml:space="preserve">Quelle: </w:t>
      </w:r>
      <w:r>
        <w:t>https://mcp.opencaselaw.ch/entscheid/vd_findinfo_HC___2014___227</w:t>
      </w:r>
    </w:p>
    <w:p>
      <w:r>
        <w:t>FR: VD_FINDINFO HC / 2014 / 227 du 24 mars 2014</w:t>
      </w:r>
    </w:p>
    <w:p>
      <w:r>
        <w:t>IT: VD_FINDINFO HC / 2014 / 227 del 24 marzo 2014</w:t>
      </w:r>
    </w:p>
    <w:p>
      <w:pPr>
        <w:pStyle w:val="Heading2"/>
      </w:pPr>
      <w:r>
        <w:t>Regeste</w:t>
      </w:r>
    </w:p>
    <w:p>
      <w:r>
        <w:t>DÉCISION D'IRRECEVABILITÉ, OBLIGATION DE CHIFFRER LES CONCLUSIONS, MOTIVATION DE LA DEMANDE | 321 al. 1 CPC (CH), 11 TFJC (2010)</w:t>
      </w:r>
    </w:p>
    <w:p>
      <w:pPr>
        <w:pStyle w:val="Heading2"/>
      </w:pPr>
      <w:r>
        <w:t>Volltext</w:t>
      </w:r>
    </w:p>
    <w:p>
      <w:r>
        <w:t>Vaud Tribunal cantonal Chambre des recours civile 24.03.2014 HC / 2014 / 227</w:t>
      </w:r>
    </w:p>
    <w:p>
      <w:r>
        <w:t>DÉCISION D'IRRECEVABILITÉ, OBLIGATION DE CHIFFRER LES CONCLUSIONS, MOTIVATION DE LA DEMANDE | 321 al. 1 CPC (CH), 11 TFJC (2010)</w:t>
      </w:r>
    </w:p>
    <w:p>
      <w:r>
        <w:t>TRIBUNAL CANTONAL PT11.046824-140506 112 CHAMBRE DES RECOURS CIVILE _________________________________________ Arrêt du 24 mars 2014 __________________ Présidence de               M. Winzap , président Juges :              Mmes Charif Feller et Crittin Dayen Greffière :              Mme Pache ***** Art. 321 al. 1 CPC Statuant à huis clos sur le recours interjeté par S.________SA , à Pully, contre le prononcé rendu le 3 mars 2014 par le Juge délégué de la Chambre patrimoniale cantonale dans la cause divisant la recourante d’avec T.________ , à Vevey, G.________ , à Vevey, et B.________SA , à Vevey, la Chambre des recours civile du Tribunal cantonal voit : En fait et en droit : 1. Les parties sont divisées par un procès en réclamation pécuniaire ouvert devant la Chambre patrimoniale cantonale par demande du 29 novembre 2011 de T.________, G.________ et B.________SA contre S.________SA. Dans ce cadre, une expertise a été ordonnée le 28 novembre 2012 par le Juge délégué de la Chambre patrimoniale cantonale, le mandat d'expert étant confié à W.________, architecte EPF. L'expert a rendu son rapport le 31 octobre 2013. Le 11 novembre 2013, il a déposé une note d'honoraires pour un montant de 40'176 francs. Un délai au 9 décembre 2013 a été imparti aux parties pour se déterminer sur le rapport d'expertise ainsi que sur la note d'honoraires de l'expert. Ce délai a été prolongé à plusieurs reprises. Par courrier du 10 décembre 2013, les demandeurs ont indiqué qu'ils n'avaient aucune observation à formuler s'agissant de la note d'honoraires de l'expert. Quant à la défenderesse, elle s'est déterminée le 17 février 2014 en estimant que l'expert ne devrait pas être rémunéré. Par courrier du 3 mars 2014, S.________SA a conclu à la récusation de l'expert W.________ au sens de l'art. 47 al. 1 let. f CPC (Code de procédure civile suisse du 19 décembre 2008, RS 272) ainsi qu'à la mise sur pied d'une nouvelle expertise. Subsidiairement, elle a requis qu'une seconde expertise soit ordonnée conformément à l'art. 188 al. 2 CPC. 2. Par prononcé du 3 mars 2014, le Juge délégué de la Chambre patrimoniale cantonale a arrêté à 40'176 fr. le montant des honoraires dus à l'expert W.________ dans la cause en réclamation pécuniaire opposant T.________, G.________ et B.________SA à S.________SA (I) et rejeté toutes autres ou plus amples conclusions (II). En droit, le premier juge a considéré que le rapport d'expertise, qui comptait 28 pages, était complet et répondait aux allégués soumis à cette preuve, le nombre d'heures facturées n'apparaissant pas disproportionné au vu de son contenu. Il a également estimé que l'on ne saurait considérer que ce rapport serait inutilisable totalement ou partiellement puisque l'on ne discernait pas dans son contenu de parti pris en faveur de l'une ou l'autre des parties. Enfin, il a relevé qu'il appartiendrait à la Chambre patrimoniale cantonale d'apprécier l'expertise librement, sans tenir compte des quelques appréciations de l'expert qui ne seraient pas purement techniques. En définitive, les honoraires facturés apparaissaient justifiés et il n'y avait pas lieu de les réduire. 3. Par courrier du 7 mars 2014, l'avocat Christophe Piguet, agissant pour le compte de S.________SA, a indiqué que sa mandante se voyait contrainte de recourir contre le prononcé susmentionné. En substance, il a invoqué une violation du droit d'être entendu de sa cliente en relation avec la requête contenue dans son courrier du 3 mars 2014 et il a également requis la confirmation que les "malheureux considérants" relatifs à la qualification du travail de l'expert avaient été introduits par erreur dans le prononcé et seraient considérés comme supprimés. 4. a) Selon l’art. 319 let. b ch. 1 CPC, le recours est recevable dans les cas prévus par la loi. Le droit à la rémunération de l’expert est consacré à l’art. 184 al. 3 CPC, qui prévoit expressément que le recours de l’art. 319 let. b ch. 1 CPC est ouvert contre la décision sur cette rémunération. Le recours, écrit et motivé, est introduit auprès de l’instance de recours, soit en l’occurrence la Chambre des recours civile du Tribunal cantonal (art. 73 al. 1 LOJV [loi d’organisation judiciaire du 12 décembre 1979, RSV 173.01] et art. 321 CPC). Selon l'art. 321 al. 1 CPC, le recours doit être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du 24 août 2012/295; Jeandin, CPC commenté, Bâle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la recourante se contente d'indiquer qu'elle se voit "contrainte de recourir" contre le prononcé. Elle invoque une violation de son droit d'être entendue en relation avec la requête contenue dans son courrier du 3 mars 2014. Elle requiert également la confirmation que les "malheureux considérants" relatifs à la qualification du travail de l'expert seront supprimés du prononcé auquel elle reproche un "jugement de valeur" sur le rapport d'expertise. La recourante ne fait valoir aucun moyen ou grief contre la décision du premier juge d'arrêter les honoraires de l'expert au montant réclamé, savoir 40'176 francs. Le recours ne satisfait ainsi pas à l’exigence de motivation de l’art. 321 al. 1 CPC. Au surplus, il est dépourvu de toute conclusion. Partant, il est irrecevable. c) Le présent arrêt peut être rendu sans frais judiciaires de deuxième instance (art. 11 TFJC [tarif du 28 septembre 2010 des frais judiciaires civils ; RSV 270.11.5). Par ces motifs, la Chambre des recours civile du Tribunal cantonal, statuant à huis clos, en application de l'art. 322 al. 1 CPC, prononce : I. Le recours est irrecevable. II. L’arrêt, rendu sans frais judiciaires, est exécutoire. Le président :               La greffière : Du L'arrêt qui précède, dont la rédaction a été approuvée à huis clos, est notifié à : ‑ Me Christophe Piguet (pour S.________SA), ‑ Me Philippe Vogel (pour T.________, G.________ et B.________SA).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