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224 vom 30. Januar 2014</w:t>
      </w:r>
    </w:p>
    <w:p>
      <w:r>
        <w:t>VD Tribunal cantonal, 2014-01-30, FR</w:t>
      </w:r>
    </w:p>
    <w:p>
      <w:r>
        <w:rPr>
          <w:b/>
        </w:rPr>
        <w:t xml:space="preserve">Quelle: </w:t>
      </w:r>
      <w:r>
        <w:t>https://mcp.opencaselaw.ch/entscheid/vd_findinfo_HC___2014___224</w:t>
      </w:r>
    </w:p>
    <w:p>
      <w:r>
        <w:t>FR: VD_FINDINFO HC / 2014 / 224 du 30 janvier 2014</w:t>
      </w:r>
    </w:p>
    <w:p>
      <w:r>
        <w:t>IT: VD_FINDINFO HC / 2014 / 224 del 30 gennaio 2014</w:t>
      </w:r>
    </w:p>
    <w:p>
      <w:pPr>
        <w:pStyle w:val="Heading2"/>
      </w:pPr>
      <w:r>
        <w:t>Regeste</w:t>
      </w:r>
    </w:p>
    <w:p>
      <w:r>
        <w:t>RÉSILIATION IMMÉDIATE, RÉPRIMANDE, TRAVAILLEUR, DANS L'ACCOMPLISSEMENT DU TRAVAIL | 337 al. 1 CO, 337 al. 2 CO, 337 al. 3 CO, 337 CO</w:t>
      </w:r>
    </w:p>
    <w:p>
      <w:pPr>
        <w:pStyle w:val="Heading2"/>
      </w:pPr>
      <w:r>
        <w:t>Erwägungen</w:t>
      </w:r>
    </w:p>
    <w:p>
      <w:r>
        <w:rPr>
          <w:b/>
        </w:rPr>
        <w:t>E. 1</w:t>
      </w:r>
    </w:p>
    <w:p>
      <w:r>
        <w:t>a) L'appel est recevable contre les décisions finales de première instance (art. 308 al. 1 let. a CPC [Code de procédure civile du 19 décembre 2008; RS 272]) au sens de l'art. 236 CPC, dans les causes patrimoniales dont la valeur litigieuse dépasse 10'000 francs (art. 308 al. 2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e éd., Lausanne 2004, n. 13 ad art. 337 CO). c) En l’espèce, il est constant que l’appelant s’est vu adresser trois avertissements écrits avant son licenciement avec effet immédiat. Si les deux premiers, du 15 mai 2008 et du 17 juin 2010, portaient sur des négligences de l’appelant dans l’accomplissement de son travail, il lui a été reproché dans l’avertissement du 10 septembre 2012 d’avoir adopté une attitude physiquement et verbalement inacceptable et de s’en être pris physiquement à son directeur. En outre, l'appelant a été dûment averti qu’un tel agissement ne saurait être toléré à l’avenir, faute de quoi il entraînerait un licenciement pour faute grave. L’avertissement du 10 septembre 2012, en tant qu’il porte sur des manquements de l’appelant en relation avec ses obligations contractuelles et qu’il exprime la menace d’une sanction, à savoir le licenciement avec effet immédiat en cas de non-respect, est valable et son contenu – au demeurant confirmé par les déclarations du témoin T.________ – n’est pas contesté par l’appelant. Par ailleurs, force est de constater que le motif du licenciement immédiat signifié à l'appelant le 17 janvier 2013 correspond à des manquements de même nature que ceux qui lui ont valu l’avertissement du 10 septembre 2012. Si, pris isolément, l’événement du 17 janvier 2013 n’aurait pas été propre à justifier un licenciement avec effet immédiat, tel est en revanche le cas du fait que l’appelant, quatre mois après son dernier avertissement, assorti d’une menace explicite de licenciement en cas de récidive, s’en est à nouveau pris verbalement à son directeur, adoptant une attitude irrespectueuse et agressive, se plaçant à quelques centimètres du directeur et allant jusqu'à pousser des cris en imitant un primate après le départ de celui-ci. Dans ces circonstances, l’intimée était fondée à considérer que les rapports de confiance étaient rompus et qu’un nouvel avertissement ne suffirait pas pour redresser la situation, dans la mesure où la persistance des faits reprochés ne permettait pas d’envisager un amendement de l’intéressé. Ainsi, c'est à raison que les premiers juges ont constaté que les justes motifs de licenciement étaient établis et que la résiliation immédiate des rapports de travail était justifiée. Cela étant, il n’y a pas lieu d’examiner les prétentions pécuniaires que l’appelant aurait pu faire valoir en cas de licenciement immédiat injustifié.</w:t>
      </w:r>
    </w:p>
    <w:p>
      <w:r>
        <w:rPr>
          <w:b/>
        </w:rPr>
        <w:t>E. 4</w:t>
      </w:r>
    </w:p>
    <w:p>
      <w:r>
        <w:t>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