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221 vom 17. März 2014</w:t>
      </w:r>
    </w:p>
    <w:p>
      <w:r>
        <w:t>VD Tribunal cantonal, 2014-03-17, FR</w:t>
      </w:r>
    </w:p>
    <w:p>
      <w:r>
        <w:rPr>
          <w:b/>
        </w:rPr>
        <w:t xml:space="preserve">Quelle: </w:t>
      </w:r>
      <w:r>
        <w:t>https://mcp.opencaselaw.ch/entscheid/vd_findinfo_HC___2014___221</w:t>
      </w:r>
    </w:p>
    <w:p>
      <w:r>
        <w:t>FR: VD_FINDINFO HC / 2014 / 221 du 17 mars 2014</w:t>
      </w:r>
    </w:p>
    <w:p>
      <w:r>
        <w:t>IT: VD_FINDINFO HC / 2014 / 221 del 17 marzo 2014</w:t>
      </w:r>
    </w:p>
    <w:p>
      <w:pPr>
        <w:pStyle w:val="Heading2"/>
      </w:pPr>
      <w:r>
        <w:t>Regeste</w:t>
      </w:r>
    </w:p>
    <w:p>
      <w:r>
        <w:t>EXÉCUTION FORCÉE, DROIT DE LA FAMILLE, SUSPENSION DE LA PROCÉDURE, MODIFICATION DES CIRCONSTANCES | 126 CPC (CH), 341 al. 3 CPC (CH)</w:t>
      </w:r>
    </w:p>
    <w:p>
      <w:pPr>
        <w:pStyle w:val="Heading2"/>
      </w:pPr>
      <w:r>
        <w:t>Erwägungen</w:t>
      </w:r>
    </w:p>
    <w:p>
      <w:r>
        <w:rPr>
          <w:b/>
        </w:rPr>
        <w:t>E. 1</w:t>
      </w:r>
    </w:p>
    <w:p>
      <w:r>
        <w:t>L’art. 126 al. 2 CPC (Code de procédure civile du 19 décembre 2008, RS 272) ouvre la voie du recours de l’art. 319 let. b ch. 1 CPC contre les ordonnances de suspension. Les ordonnances de suspensions devant être considérée commes des décisions d’instructions (Jeandin, CPC Commenté, 2011, n. 18 ad art. 319 CPC, p. 1273), le recours doit être déposé dans le délai de dix jours de l’art. 321 al. 2 CPC (CREC 14 juin 2013/205 c. 2.2). Le recours de l’art. 319 let. a CPC est également ouvert contre les décisions du tribunal de l’exécution (Jeandin, op. cit., n. 5 ad art. 309 CPC, p. 1246 et n. 22 ad art. 341 CPC, p. 1334), le délai de recours étant de dix jours vu l’application de la procédure sommaire (art. 339 al. 2 et 321 al. 2 CPC).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2010, n. 12 ad art. 319 CPC, p. 1504).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3</w:t>
      </w:r>
    </w:p>
    <w:p>
      <w:r>
        <w:t>Le recourant soutient que le premier juge ne pouvait suspendre la procédure dès lors que toutes les conditions posées à l’exécution forcée étaient réunies. a) Selon l’art. 341 CPC, le tribunal de l’exécution examine d’office le caractère exécutoire de la décision dont l’exécution est requise (al. 1) ; il fixe à la partie succombante un bref délai pour se déterminer (al. 2) ;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devant être prouvé par titre (al. 3). Au stade de la procédure d’exécution, qui ne saurait être confondue avec une voie de remise en cause de la décision au fond, l’intimé ne peut revenir sur l’objet du litige, puisque ladite décision déploie autorité de chose jugée. En conséquence, seuls des faits survenus postérieurement au jour où la décision a été rendue et faisant obstacle à son exécution peuvent être allégués par l’intimé ; il doit s’agir de faits dont la survenance a eu pour conséquence l’extinction de la prétention à exécuter (Jeandin, op. cit., n. 16 ad art. 341 CPC, pp. 1332-1333). En particulier, dans le domaine du droit de la famille, le débiteur de l’obligation ne peut faire valoir devant le juge de l’exécution forcée une modification des circonstances depuis le jugement. Il lui appartient en effet de saisir le juge de la modification du jugement au fond et de requérir devant ce dernier la levée, par voie de mesures provisionnelles, du caractère exécutoire du jugement dont l’exécution est demandée (Staehelin, Kommentar zur Schweizerischen Zivilprozessordnung, Sutter-Somm/Hasenböhler Hrsg, 2 e éd., 2013, n. 12 ad art. 341 CPC, p. 2455 ; ATF 111 II 313). La Chambre des recours civile a confirmé la suspension d’une procédure d’exécution forcée fondée sur l’art. 126 CPC dans le cas où un locataire invoquait devant le tribunal compétent au fond la nullité de la convention sur laquelle se fondait la requête d’exécution forcée et entendait attaquer devant les instances de recours le prononcé d’irrecevabilité fondé sur l’autorité de chose jugée de cette convention, la Chambre des recours civile relevant que rien ne permettait de tenir le recours au Tribunal fédéral pour voué à l’échec (CREC 14 juin 2013/205). La doctrine admet que le moyen tiré de la nullité du jugement dont l’exécution est demandée peut être porté devant le juge de l’exécution forcée (Staehelin, op. cit., n. 13 ad art. 341 CPC, p. 2455). b) En matière d’expulsion forcée de locataire, la jurisprudence admet que des motifs humanitaires peuvent être pris en compte au stade de l’exécution forcée en application du principe de proportionnalité. Elle a toutefois précisé que, dans tous les cas, l’ajournement de l’exécution forcée ne pouvait qu’être relativement bref et ne devait pas équivaloir à une nouvelle prolongation de bail (ATF 117 Ia 336 c. 2b). La Chambre des recours civile considère que, sauf cas particulier, un délai de libération des locaux de quinze à vingt jour est admissible (CREC 13 mars 2012/99 ; CREC 21 septembre 2011/168). c) En l’espèce, il y a lieu d’admettre avec le recourant que l’arrêt de la Cour d’appel civile du 4 juin 2013 est exécutoire et que l’intimée n’a établi aucun fait postérieur ayant pour conséquence l’extinction, le sursis, la prescription ou la péremption de la prétention en libération de l’appartement du deuxième étage de l’immeuble en cause. En particulier, en refusant d’admettre, le 9 janvier 2014, la requête de mesures superprovisionnelles de l’intimée du 7 janvier 2014, le Président du Tribunal civil de l’arrondissement de La Côte a confirmé le caractère exécutoire de l’arrêt du 4 juin 2013. Le seul fait qu’une procédure de mesures provisionnelles ait été engagée ne suffisait pas, vu les considérations qui précèdent, à rendre opportune au sens de l’art. 126 CPC une suspension de la procédure d’exécution forcée. L’état de santé de l’intimée pouvait, le cas échéant, être pris en compte dans la fixation du délai d’évacuation volontaire, mais ne justifiait pas une suspension de plusieurs mois de l’exécution forcée. L’intimée invoque en vain l’arrêt de la Chambre des recours civile du 14 juin 2013, car dans cet arrêt était invoqué la nullité du jugement fondant l’exécution forcée, qui peut être invoquée en tout temps et devant le juge de l’exécution, alors que l’intimée invoque une modification des circonstances, élément qui relève de la compétence du juge de la modification.</w:t>
      </w:r>
    </w:p>
    <w:p>
      <w:r>
        <w:rPr>
          <w:b/>
        </w:rPr>
        <w:t>E. 4</w:t>
      </w:r>
    </w:p>
    <w:p>
      <w:r>
        <w:t>En conclusion, le recours doit être admis et la décision annulée, la cause étant renvoyée au premier juge pour suivre à la procédure d’exécution forcée. Vu l’issue du litige, les frais judiciaires de deuxième instance, arrêtés à 300 fr. (art. 71 al. 1 TFJC), doivent être mis à la charge de l’intimée (art. 106 al. 1 CPC). L’intimée versera ainsi au recourant la somme de 300 fr. à titre de restitution de l’avance de frais fournie par ce dernier (art. 111 al. 2 CPC). La charge des dépens est évaluée à 1'000 fr. pour chaque partie, de sorte que, compte tenu de ce que les frais – comprenant les frais judiciaires et les dépens (art. 95 al. 1 CPC) – doivent être mis à la charge de l’intimée, celle-ci versera au recourant la somme de 1’000 fr. à titre de dépens. Par ces motifs, la Chambre des recours civile du Tribunal cantonal, statuant à huis clos, prononce : I.              Le recours est admis. II. La décision est annulée et la cause est renvoyée à la Juge de paix du district de Morges pour suivre à la procédure d’exécution forcée. III. Les frais judiciaires de deuxième instance, arrêtés à 300 fr. (trois cents francs), sont mis à la charge de l’intimée. IV. L’intimée B.Y.________, doit verser au recourant A.Y.________ la somme de 1'300 fr. (mille trois cents francs) à titre de dépens et de restitution d’avance de frais de deuxième instance. V. L’arrêt motivé est exécutoire. Le président :               Le greffier : Du 18 mars 2014 Le dispositif de l'arrêt qui précède est communiqué par écrit aux intéressés. Le greffier : Du L'arrêt qui précède, dont la rédaction a été approuvée à huis clos, est notifié en expédition complète, par l'envoi de photocopies, à : ‑ Me Jean-Yves Schmidhauser (pour A.Y.________), ‑ Me Gloria Capt (pour B.Y.________).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