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217 vom 12. Februar 2014</w:t>
      </w:r>
    </w:p>
    <w:p>
      <w:r>
        <w:t>VD Tribunal cantonal, 2014-02-12, FR</w:t>
      </w:r>
    </w:p>
    <w:p>
      <w:r>
        <w:rPr>
          <w:b/>
        </w:rPr>
        <w:t xml:space="preserve">Quelle: </w:t>
      </w:r>
      <w:r>
        <w:t>https://mcp.opencaselaw.ch/entscheid/vd_findinfo_HC___2014___217</w:t>
      </w:r>
    </w:p>
    <w:p>
      <w:r>
        <w:t>FR: VD_FINDINFO HC / 2014 / 217 du 12 février 2014</w:t>
      </w:r>
    </w:p>
    <w:p>
      <w:r>
        <w:t>IT: VD_FINDINFO HC / 2014 / 217 del 12 febbraio 2014</w:t>
      </w:r>
    </w:p>
    <w:p>
      <w:pPr>
        <w:pStyle w:val="Heading2"/>
      </w:pPr>
      <w:r>
        <w:t>Regeste</w:t>
      </w:r>
    </w:p>
    <w:p>
      <w:r>
        <w:t>DROIT DE GARDE, RAPPORT{EXPOSÉ}, SERVICE DE PROTECTION DE LA JEUNESSE, EXPERTISE, PROTECTION DE L'UNION CONJUGALE, GUINÉE-BISSAU | 176 al. 3 CC</w:t>
      </w:r>
    </w:p>
    <w:p>
      <w:pPr>
        <w:pStyle w:val="Heading2"/>
      </w:pPr>
      <w:r>
        <w:t>Erwägungen</w:t>
      </w:r>
    </w:p>
    <w:p>
      <w:r>
        <w:rPr>
          <w:b/>
        </w:rPr>
        <w:t>E. 4</w:t>
      </w:r>
    </w:p>
    <w:p>
      <w:r>
        <w:t>Pour le cas où la garde serait maintenue à la mère, l’appelant ne conteste pas le montant de la contribution d’entretien de sorte que ce point peut être confirmé.</w:t>
      </w:r>
    </w:p>
    <w:p>
      <w:r>
        <w:rPr>
          <w:b/>
        </w:rPr>
        <w:t>E. 5</w:t>
      </w:r>
    </w:p>
    <w:p>
      <w:r>
        <w:t>L’appelant a sollicité l’octroi de l’assistance judiciaire. Compte tenu des conclusions du rapport du SPJ du 11 juillet 2013, l’on peut admettre que l’appel n’était pas dépourvu de toute chance de succès au sens de l’art. 117 let. b CPC. Par conséquent, il se justifie d’accorder l’assistance judiciaire à l’appelant dans le cadre de la procédure d’appel et de désigner Me Yan Schumacher comme conseil d’office. L’appelant versera dès lors une franchise de 100 fr. par mois, dès et y compris le 1 er mars 2014, auprès du Service juridique et législatif à Lausanne (art. 5 RAJ [règlement sur l’assistance judiciaire en matière civile du 7 décembre 2010, RSV 211.02.3]). Au vu de la liste des opérations produite par le conseil de l’appelant, on peut fixer à sept heures et cinquante minutes le temps consacré par celui-ci à l’accomplissement des opérations de la procédure d’appel. Le tarif horaire de l’avocat étant de 180 fr. (art. 2 al. 1 let. a RAJ), l’indemnité due au conseil d’office de l’intimée doit être arrêtée à 1'589 fr. (arrondi), soit 1'410 fr. d'honoraire, 61 fr. de débours et 117 fr. 70 de TVA. Conformément à l’art. 123 al. 1 CPC, une partie est tenue de rembourser l’assistance judiciaire dès qu’elle est en mesure de le faire. Dans cette mesure, la partie est tenue au remboursement des frais judiciaires et de l’indemnité de son conseil d’office mis à la charge de l’Etat. L’appelant ayant succombé, les frais judiciaires de deuxième instance, fixés à 600 fr. (art. 65 al. 2 TFJC) sont laissés à la charge de l’Etat (art. 106 al. 1 et 122 al. 1 CPC). L’intimée n’ayant pas été invitée à se déterminer, il n’y a pas lieu de lui allouer des dépens. Par ces motifs, la juge déléguée de la Cour d’appel civile du Tribunal cantonal, statuant à huis clos, prononce : I. L’appel est rejeté. II. L’ordonnance est confirmée. III. L’assistance judiciaire est accordée à l’appelant M. V.________ avec effet au 27 janvier 2014 dans la procédure d’appel, Me Yan Schumacher étant désigné conseil d’office. IV. M. V.________ est astreint à payer une franchise de 100 fr. (cent francs) dès et y compris le 1 er mars 2014, à verser auprès du Service juridique et législatif à Lausanne. V. L’indemnité de Me Yan Schumacher, conseil de l’appelant, est arrêtée à 1'589 fr. (mille cinq cent huitante-neuf francs), TVA et débours compris. VI. Les frais judiciaires de deuxième instance de l’appelant, arrêtés à 600 fr. (six cents francs), sont laissés à la charge de l’Etat. VII. Le bénéficiaire de l’assistance judiciaire est, dans la mesure de l’art. 123 CPC, tenu au remboursement des frais judiciaires et de l’indemnité à son conseil d’office mis à la charge de l’Etat. VIII. L’arrêt motivé est exécutoire. La juge déléguée : Le greffier : Du 13 février 2014 Le dispositif de l'arrêt qui précède est communiqué par écrit aux intéressés. Le greffier : Du L'arrêt qui précède, dont la rédaction a été approuvée à huis clos, est notifié à : ‑ Me Yan Schumacher (pour M. V.________), ‑ Me Michèle Meylan (pour Mme 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