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207 vom 18. Februar 2014</w:t>
      </w:r>
    </w:p>
    <w:p>
      <w:r>
        <w:t>VD Tribunal cantonal, 2014-02-18, FR</w:t>
      </w:r>
    </w:p>
    <w:p>
      <w:r>
        <w:rPr>
          <w:b/>
        </w:rPr>
        <w:t xml:space="preserve">Quelle: </w:t>
      </w:r>
      <w:r>
        <w:t>https://mcp.opencaselaw.ch/entscheid/vd_findinfo_HC___2014___207</w:t>
      </w:r>
    </w:p>
    <w:p>
      <w:r>
        <w:t>FR: VD_FINDINFO HC / 2014 / 207 du 18 février 2014</w:t>
      </w:r>
    </w:p>
    <w:p>
      <w:r>
        <w:t>IT: VD_FINDINFO HC / 2014 / 207 del 18 febbraio 2014</w:t>
      </w:r>
    </w:p>
    <w:p>
      <w:pPr>
        <w:pStyle w:val="Heading2"/>
      </w:pPr>
      <w:r>
        <w:t>Regeste</w:t>
      </w:r>
    </w:p>
    <w:p>
      <w:r>
        <w:t>REVENU HYPOTHÉTIQUE, OBLIGATION D'ENTRETIEN, PROTECTION DE L'UNION CONJUGALE | 176 al. 1 CPC (CH)</w:t>
      </w:r>
    </w:p>
    <w:p>
      <w:pPr>
        <w:pStyle w:val="Heading2"/>
      </w:pPr>
      <w:r>
        <w:t>Erwägungen</w:t>
      </w:r>
    </w:p>
    <w:p>
      <w:r>
        <w:rPr>
          <w:b/>
        </w:rPr>
        <w:t>E. 1</w:t>
      </w:r>
    </w:p>
    <w:p>
      <w:r>
        <w:t>a) L'appel est recevable contre les ordonnances de mesures protectrices de l'union conjugale, qui doivent être considérées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L’appel relève de la compétence du juge unique (art. 84 al. 2 LOJV [loi d’organisation judiciaire du 12 décembre 1979, RSV 173.01]). b) En l’espèce, formé en temps utile par une partie qui y a intérêt et portant sur des conclusions qui, capitalisées selon l'art. 92 al. 2 CPC, sont supérieures à 10'000 fr., le présent appel est recevable. Un membre de la Cour d’appel civile statue comme juge unique sur les appels formés contre les décisions sur mesures provisionnelles et sur mesures protectrices de l’union conjugale (art. 84 al. 2 LOJV).</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w:t>
      </w:r>
    </w:p>
    <w:p>
      <w:r>
        <w:rPr>
          <w:b/>
        </w:rPr>
        <w:t>E. 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w:t>
      </w:r>
    </w:p>
    <w:p>
      <w:r>
        <w:rPr>
          <w:b/>
        </w:rPr>
        <w:t>E. 4</w:t>
      </w:r>
    </w:p>
    <w:p>
      <w:r>
        <w:t>L'appelant a déposé une réplique spontanée datée du 18 février 2014 et reçue au greffe le lendemain. Dès lors que le présent arrêt a été rendu le 18 février 2014, cet acte n'a pu être pris en compte. En l'espèce, la réponse a été déposée le 30 janvier 2014 et le présent arrêt a été rendu vingt jours plus tard, ce qui ne viole pas la jurisprudence du Tribunal fédéral, selon laquelle un délai inférieur à dix jours ne suffit pas pour garantir le droit de réplique spontanée (TF 9C_193/2013 du 22 juillet 2013 c. 2.1.2). De toute manière, même s'il avait été tenu compte de cet acte, il faut constater que l'appelant se borne à y exposer sa propre version des faits sans rien démontrer. S’agissant des moyens de preuves, il a produit un extrait du registre du commerce qui constitue un fait notoire. Quant à la réquisition de preuves, elle aurait dû être déclarée irrecevable, en application de l'art. 317 al. 1 CPC, dès lors qu'il s'agit de pièces dont la production aurait pu être demandée en première instance déjà.</w:t>
      </w:r>
    </w:p>
    <w:p>
      <w:r>
        <w:rPr>
          <w:b/>
        </w:rPr>
        <w:t>E. 5.1</w:t>
      </w:r>
    </w:p>
    <w:p>
      <w:r>
        <w:t>L'appelant conteste la manière dont le juge a arrêté le revenu de l'intimée. Celle-ci n'aurait pas établi que son salaire aurait baissé de manière drastique. Dès lors que l'intimée, actionnaire majoritaire de J.________SA, a licencié l'appelant, économisant ainsi le salaire de celui-ci, il apparaît plutôt qu'elle a pu doubler son propre salaire qui s'élèverait en conséquence à 560'000 fr. net par année. Si par impossible, ce salaire ne devait pas être retenu, l'appelant soutient qu'un revenu hypothétique devrait être imputé à l'intimée dès lors que celle-ci, en tant qu’actionnaire majoritaire de J.________SA, peut influer sur son propre salaire, et qu’elle aurait volontairement diminué ses revenus.</w:t>
      </w:r>
    </w:p>
    <w:p>
      <w:r>
        <w:rPr>
          <w:b/>
        </w:rPr>
        <w:t>E. 5.2</w:t>
      </w:r>
    </w:p>
    <w:p>
      <w:r>
        <w:t>Selon la jurisprudence, le juge fixe les contributions d'entretien du droit de la famille – et notamment la contribution pécuniaire à verser par l'un des conjoints à l'autre dans le cadre de mesures protectrices de l'union conjugale (cf. art. 176 al. 1 ch. 1 et 163 al. 1 CC; voir p. ex. TF 5A_914/2010 du 10 mars 2011) ou de mesures provisoires dans un procès en divorce (cf. art. 276 al. 1 CPC; voir p. ex. TF 5A_894/2010 du 15 avril 2011 c. 3.1) – en se fondant, en principe, sur le revenu effectif du débiteur. S'agissant de la détermination des ressources du débirentier, qui maîtrise économiquement une société, se pose la question de savoir comment prendre en considération cette dernière.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TF 5A_696/2011 du 28 juin 2012 c. 4.1.2, in FamPra.ch 2012 p. 1128 et réf. à ATF 121 III 319 c. 5a/aa ; 112 II 503 c. 3b; 108 II 213 c. 6a; 102 III 165 c.. II/1). Ainsi, lorsqu'il existe une unité économique entre une société anonyme et un actionnaire unique ou principal, il peut se justifier, dans les procès du droit de famille, d'examiner la capacité contributive de l'actionnaire en application des règles relatives aux indépendants (TF 5P.127/2003 du 4 juillet 2003 c. 2.2., in FamPra.ch 2004 p. 909; Bräm, Zürcher Kommentar, n. 78 ad art. 163 CC). En matière de mesures protectrices, le juge doit s'en tenir à la vraisemblance des faits allégués et une expertise comptable est exclue (Chaix. Commentaire romand, n. 7 ad art. 176 CC; Juge délégué CACI 25 août 2011/211).</w:t>
      </w:r>
    </w:p>
    <w:p>
      <w:r>
        <w:rPr>
          <w:b/>
        </w:rPr>
        <w:t>E. 5.3</w:t>
      </w:r>
    </w:p>
    <w:p>
      <w:r>
        <w:t>Le juge peut s’écarter du revenu effectif du débirentier et retenir un revenu hypothétique supérieur, pour autant qu'une augmentation correspondante de revenu soit effectivement possible et qu'elle puisse raisonnablement être exigée de celui-ci (TF 5A_736/2008 du 30 mars 2009 c. 4; ATF 128 III 4 c. 4, JT 2002 I 294 c. 4 et les références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précité c. 4a; TF 5C.40/2003 du 6 juin 2003 c. 2.1.1 partiellement publié aux ATF 129 III 577; TF 5A_894/2010 précité c. 3.1; TF 5A_290/2010 du 28 octobre 2010 c. 3.1 et les références citées). Savoir si l'on peut raisonnablement exiger d'une personne qu'elle exerce une activité ou augmente celle-ci, eu égard notamment à sa formation, à son âge et à son état de santé, est une question de droit; lorsqu'il tranche celle-ci, le juge ne peut pas se contenter de dire, de manière toute générale, que la personne en cause pourrait obtenir des revenus, ou les augmenter, en travaillant; il doit préciser le type d'activité professionnelle que cette personne peut raisonnablement accomplir; en revanche, savoir si la personne a la possibilité effective d'exercer l'activité ainsi déterminée et quel revenu elle peut en obtenir, compte tenu du marché du travail, sont des questions de fait (137 III 118 c. 2.3 – 3.2, JT 2011 II 486; ATF 128 III 4 c. 4; ATF 126 III 10 c. 2b; TF 5A_894/2010 du 15 avril 2011 c. 3.1; TF 5A_588/2010 du 12 janvier 2011 c. 2.1; TF 5A_795/2010 du 4 février 2011 c. 3.2). Le juge doit les examiner concrètement et, s'agissant du salaire, éventuellement en se basant sur l'enquête suisse sur la structure des salaires réalisée par l'Office fédéral de la statistique, ou sur d'autres sources telles que des conventions collectives de travail (Philipp Mühlhauser, Das Lohnbuch 2010, Mindestlöhne sowie orts- und berufübliche Löhne in der Schweiz, Zurich 2010; ATF 137 III 118 précité c. 3.2; TF 5A_99/2011 du 26 septembre 2011 c. 7.4.1 publié in FamPra.ch 2012, p. 228; TF 5A_860/2011 du 11 juin 2012 c. 4.1).</w:t>
      </w:r>
    </w:p>
    <w:p>
      <w:r>
        <w:rPr>
          <w:b/>
        </w:rPr>
        <w:t>E. 5.4</w:t>
      </w:r>
    </w:p>
    <w:p>
      <w:r>
        <w:t>En l'espèce, l'intimée a produit des fiches de salaire concernant les mois de janvier 2012 à juillet 2013. Il en ressort qu'en 2012 son revenu mensuel net s'élevait à 22'432 fr. 24 et en 2013 à 14'788 fr. 75. Aucun élément n'indique que l'intimée ait réalisé un revenu plus élevé. Certes, elle est actionnaire unique de J.________SA, qui employait également l'appelant jusqu'au mois de juin 2013, lequel réalisait un revenu mensuel de l’ordre de 24'700 fr., puis de 13'200 fr. à partir du mois de mars 2013. Toutefois, il faut relever qu’à partir du mois de juin 2012, ce salaire était couvert par l’assurance perte de gain à hauteur de 186'129 fr sur un salaire total de l’ordre de 263'600 fr. (197'600 fr. [8 x 24'700 fr.] + 66'000 fr. [5 x13’200 fr]), de sorte que l’on ne saurait suivre l’appelant lorsqu’il prétend que dès lors qu’il ne travaille plus pour cette société son épouse serait en mesure de doubler son salaire. En outre, il est établi que J.________SA fait l'objet d'une restructuration et que la situation n'est plus la même qu'en 2012 lorsque l'appelant travaillait encore pour cette entreprise, J.________SA s'étant notamment séparé de S.________SA. Il apparaît également que la masse salariale de J.________SA a augmenté entre 2012 et 2013. L'argumentation de l'appelant, qui consiste à opposer sa propre version des faits, à savoir que l'intimée a doublé son salaire du simple fait qu'il ne travaille plus dans cette entreprise, ne repose sur aucun point tangible. A l'opposé, l'intimée a démontré par pièce que son revenu était de 14'788 fr. 75 en 2013 et l'appelant ne fournit aucun élément permettant de rendre vraisemblable que les fiches de salaire produites par sa partie adverse ne sont pas le reflet de la réalité.</w:t>
      </w:r>
    </w:p>
    <w:p>
      <w:r>
        <w:rPr>
          <w:b/>
        </w:rPr>
        <w:t>E. 5.5</w:t>
      </w:r>
    </w:p>
    <w:p>
      <w:r>
        <w:t>Reste encore à déterminer s'il y a lieu d'imputer un revenu hypothétique à l'intimée dès lors que ses revenus ont diminué. Le revenu de l'intimée a diminué en raison de la restructuration de l'entreprise J.________SA. Les pièces produites par celle-ci démontrent qu'entre 2012 et 2013 la masse salariale est passée de 404'701 fr. 35 en 2012 à 570'260 fr. 25 en 2013, ce qui a immanquablement eu des répercussions directes sur le bénéfice de la société précitée. Il ressort du courriel du 30 octobre 2013 que l'appelant a encouragé cette restructuration et qu'il était d'accord. Il ne saurait dès lors se plaindre d’un changement dans le cadre de cette société. Aucune pièce ne permet de dire que l'intimée pourrait réaliser un revenu plus important et qu'elle a volontairement diminuer son revenu dans le but de la présente procédure. Ainsi, il n'y a pas lieu de lui imputer un revenu hypothétique. En conséquence, il faut considérer que le revenu de l'intimée s'élève à 14'788 fr. 75, comme cela ressort des pièces produites. Dès lors que ses charges sont de 21'644 fr. 70, il y a lieu de constater que son budget présente un déficit de 6'856 fr. 70.</w:t>
      </w:r>
    </w:p>
    <w:p>
      <w:r>
        <w:rPr>
          <w:b/>
        </w:rPr>
        <w:t>E. 6</w:t>
      </w:r>
    </w:p>
    <w:p>
      <w:r>
        <w:t>a) L'appelant conteste encore le revenu hypothétique de 11'083 fr. 30 qui lui a été imputé et qui serait complètement déconnecté de la réalité du marché du travail actuel, ainsi que de ses propres circonstances personnelles. b) Un époux ne peut prétendre à une pension que s’il n’est pas en mesure de pourvoir lui-même à son entretien convenable et si son conjoint dispose d’une capacité contributive, étant précisé que tant le créancier que le débiteur peut se voir imputer un revenu hypothétique (ATF 137 III 102 c. 4.2.1 à 4.2.3 et les réf. citées). c) Comme l'a relevé le premier juge, l'appelant a été licencié avec effet au 31 août 2012 en raison de la restructuration de la société J.________SA, de sorte que l'on ne peut rien lui reprocher sur ce point. Toutefois il s'est vu proposer d'emblée un nouveau contrat de travail à partir du 1 er septembre 2012, pour un salaire de 133'000 fr. par année, plus des commissions de courtage par 5%, qui, bien qu'inférieur à son précédent salaire, représentait un revenu non négligeable. Certes les relations avec son épouse étaient déjà houleuses et l'on peut comprendre qu'il ait été peu enclin à accepter ce contrat. Toutefois, dans sa situation, notamment au vu de son âge, 59 ans, il apparaît qu'il devait privilégier la réalisation d'un revenu à des motifs personnels. Il fait valoir que son congé lui a été donné sans justes motifs, uniquement dans le but de diviser ses revenus par moitié. Cependant, il n'a jamais contesté ce licenciement. Enfin, lorsque le nouveau contrat lui a été proposé au moment de son licenciement, soit le 3 mai 2012, l'appelant n'était pas en incapacité de travailler, celle-ci ayant débuté le 20 juin 2012, de sorte que rien ne l'empêchait de l'accepter. A cela s'ajoute que par la suite, l'appelant a abandonné le projet de débuter une activité indépendante pour le motif que la caisse de chômage a refusé de l'aider. Il aurait toutefois pu se passer d’un financement du chômage dès lors qu'il disposait de 920'000 fr. à la suite de la vente de la villa des parties. Ainsi, le revenu hypothétique que le premier juge lui a imputé, soit 11'083 fr. 30, ne semble pas prêter le flanc à la critique. La question peut toutefois demeurer ouverte dès lors que le budget de l'intimée présente un déficit de sorte qu'elle n'est de toute manière pas en mesure de verser une contribution d'entretien à son époux.</w:t>
      </w:r>
    </w:p>
    <w:p>
      <w:r>
        <w:rPr>
          <w:b/>
        </w:rPr>
        <w:t>E. 7</w:t>
      </w:r>
    </w:p>
    <w:p>
      <w:r>
        <w:t>L'appelant estime que le premier juge aurait dû appliquer la méthode dite du train de vie pour arrêter la contribution d'entretien. Si la situation financière des époux le permet encore, le standard de vie antérieur, choisi d'un commun accord, doit être maintenu pour les deux parties. Quand il n'est pas possible de conserver ce niveau de vie, les époux ont droit à un train de vie semblable (ATF 121 I 97 c. 3b et les arrêts cités ; TF 5A_205/2010 du 12 juillet 2010 c. 4.2.3, publié in FamPra.ch 2010 p. 894 ; ATF 119 II 314 c. 4b/aa). Le juge peut ainsi être amené à adapter la convention conclue pour la vie commune, à la lumière de ces faits nouveaux (TF 5A_236/2011 du 18 octobre 2011 c. 4.2.3 ; sur le tout TF 5A_301/2011 du 1er décembre 2011 c. 5.1).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 3.1). En l'espèce, la situation des parties est loin d'être favorable, dès lors que leur budget respectif présente un déficit, cela même si l’on retient un revenu hypothétique à l’encontre de l’appelant. En effet, le budget de l’intimée présente un déficit de 6'856 fr. 70 et celui de l’appelant de 9'272 fr. 70 (13'783 fr. 30 [11'083 fr. 30 + 2’700] – 23'055 fr.). Il n'y a dès lors pas lieu d'appliquer la méthode dite du train de vie. De toute manière, il n'y pas la place pour l'octroi d'une contribution d'entretien, quelle que soit la méthode appliquée, dès lors que le budget de l'intimée présente un déficit.</w:t>
      </w:r>
    </w:p>
    <w:p>
      <w:r>
        <w:rPr>
          <w:b/>
        </w:rPr>
        <w:t>E. 8</w:t>
      </w:r>
    </w:p>
    <w:p>
      <w:r>
        <w:t>L’appelant conclut également à ce qu’une provision ad litem de 8’000 fr. lui soit allouée. D'après la jurisprudence, une provision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(ATF 103 Ia 99 c. 4; TF 5A_784/2008 du 20 novembre 2009 c. 2). En l’espèce, comme on l’a vu, les charges de l’intimée sont plus élevées que son revenu de sorte qu’elle ne peut pas verser une telle provision. Au surplus, rien n’indique que l’appelant ne dispose pas des liquidités nécessaires pour payer son conseil, le solde de son compte personnel s’élevant à 32’566 fr. au 31 mai 2013. A l’opposé, le compte personnel de l’intimée présentait un déficit au mois de juillet 2013.</w:t>
      </w:r>
    </w:p>
    <w:p>
      <w:r>
        <w:rPr>
          <w:b/>
        </w:rPr>
        <w:t>E. 9</w:t>
      </w:r>
    </w:p>
    <w:p>
      <w:r>
        <w:t>En conclusion, l'appel doit être rejeté et le prononcé de première instance confirmé. L’appelant ayant succombé, les frais judiciaires de deuxième instance, fixés à 1'000 fr. (art. 65 al. 2 et 4 TFJC [tarif des frais judiciaires civils du 28 septembre 2010; RSV 270.11.5]), sont mis à sa charge (art. 106 al. 1 CPC). Il devra en outre verser à l'intimée un montant de 1'500 fr. à titre de dépens de deuxième instance (art. 7 al. 1 TDC [tarif des dépens en matière civile du 23 novembre 2010] Par ces motifs, le juge délégué de la Cour d’appel civile du Tribunal cantonal, statuant à huis clos, prononce : I. L’appel est rejeté. II. Le prononcé est confirmé. III. Les frais judiciaires de deuxième instance, arrêtés à 1'000 fr. (mille francs), sont mis à la charge de l’appelant M. C.________. IV. L’appelant M. C.________ doit verser à l’intimée Mme C.________ la somme de 1'500 fr. (mille cinq cents francs) à titre de dépens de deuxième instance. V. L’arrêt motivé est exécutoire. Le juge délégué : Le greffier : Du 19 février 2014 Le dispositif de l'arrêt qui précède est communiqué par écrit aux intéressés. Le greffier : Du L'arrêt qui précède, dont la rédaction a été approuvée à huis clos, est notifié en expédition complète, par l'envoi de photocopies à : ‑ Me Irène Wettstein Martin (pour M. C.________), ‑ Me Denis Bridel (pour Mme C.________).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