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199 vom 21. Februar 2014</w:t>
      </w:r>
    </w:p>
    <w:p>
      <w:r>
        <w:t>VD Tribunal cantonal, 2014-02-21, FR</w:t>
      </w:r>
    </w:p>
    <w:p>
      <w:r>
        <w:rPr>
          <w:b/>
        </w:rPr>
        <w:t xml:space="preserve">Quelle: </w:t>
      </w:r>
      <w:r>
        <w:t>https://mcp.opencaselaw.ch/entscheid/vd_findinfo_HC___2014___199</w:t>
      </w:r>
    </w:p>
    <w:p>
      <w:r>
        <w:t>FR: VD_FINDINFO HC / 2014 / 199 du 21 février 2014</w:t>
      </w:r>
    </w:p>
    <w:p>
      <w:r>
        <w:t>IT: VD_FINDINFO HC / 2014 / 199 del 21 febbraio 2014</w:t>
      </w:r>
    </w:p>
    <w:p>
      <w:pPr>
        <w:pStyle w:val="Heading2"/>
      </w:pPr>
      <w:r>
        <w:t>Regeste</w:t>
      </w:r>
    </w:p>
    <w:p>
      <w:r>
        <w:t>ASSISTANCE JUDICIAIRE, INDEMNITÉ{EN GÉNÉRAL} | 122 al. 1 let. a CPC (CH), 2 al. 1 RAJ, 69 al. 3 TFJC (2010), 70 al. 3 TFJC (2010)</w:t>
      </w:r>
    </w:p>
    <w:p>
      <w:pPr>
        <w:pStyle w:val="Heading2"/>
      </w:pPr>
      <w:r>
        <w:t>Erwägungen</w:t>
      </w:r>
    </w:p>
    <w:p>
      <w:r>
        <w:rPr>
          <w:b/>
        </w:rPr>
        <w:t>E. 1</w:t>
      </w:r>
    </w:p>
    <w:p>
      <w:r>
        <w:t>Selon l'art. 319 let. b ch. 1 CPC (Code de procédure civile du 19 décembre 2008 ; RS 272), le recours est recevable contre les autres décisions et ordonnances d'instruction de première instance dans les cas prévus par la loi.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Cet article prévoyant que la décision sur les frais ne peut être attaquée séparément que par un recours, c'est cette voie de droit qui est ouverte. La rémunération du conseil juridique commis d'office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Tappy, op. cit., n. 22 ad art. 122 CPC). Formé en temps utile par une partie qui y a un intérêt digne de protection (art. 59 al.</w:t>
      </w:r>
    </w:p>
    <w:p>
      <w:r>
        <w:rPr>
          <w:b/>
        </w:rPr>
        <w:t>E. 2</w:t>
      </w:r>
    </w:p>
    <w:p>
      <w:r>
        <w:t>let. a CPC), le présent recours est recevable.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Bâle 2011,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2.2</w:t>
      </w:r>
    </w:p>
    <w:p>
      <w:r>
        <w:t>Aux termes de l’art. 326 CPC, les conclusions, les allégations de faits et les preuves nouvelles sont irrecevables. En l’espèce, les pièces produites par le recourant qui ne figurent pas déjà au dossier de premier instance, comme par exemple les courriels échangés avec la cliente ou la correspondance avec la partie adverse ou l’Office des faillites (pièces 4 à 6) sont par conséquent irrecevables.</w:t>
      </w:r>
    </w:p>
    <w:p>
      <w:r>
        <w:rPr>
          <w:b/>
        </w:rPr>
        <w:t>E. 3</w:t>
      </w:r>
    </w:p>
    <w:p>
      <w:r>
        <w:t>Le recourant invoque une violation de son droit d’être entendu, respectivement de son droit d’obtenir une décision motivée. Il reproche au premier juge de ne pas avoir indiqué les raisons pour lesquelles il a considéré que 30 heures de travail, savoir 5 heures consacrées par l’avocat breveté et 25 heures par l’avocat-stagiaire, étaient suffisantes pour traiter le dossier.</w:t>
      </w:r>
    </w:p>
    <w:p>
      <w:r>
        <w:rPr>
          <w:b/>
        </w:rPr>
        <w:t>E. 3.1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précité, JT 2011 IV 3; ATF 126 I 97 c. 2b précité, JT 2004 IV 3).</w:t>
      </w:r>
    </w:p>
    <w:p>
      <w:r>
        <w:rPr>
          <w:b/>
        </w:rPr>
        <w:t>E. 3.2</w:t>
      </w:r>
    </w:p>
    <w:p>
      <w:r>
        <w:t>La décision attaquée expose plusieurs motifs conduisant à la réduction des heures annoncées par le conseil d’office : le retranchement des heures pour les opérations antérieures à l’octroi de l’assistance judiciaire (12h30), le retranchement des opérations facturées pour une procédure de mainlevée pour laquelle l’assistance judiciaire n’avait pas été accordée (7h15), le temps excessif (près de 100 heures) consacré par un stagiaire, le temps nécessaire à sa formation n’étant pas couvert pas l’assistance judiciaire et la multiplication de différents intervenants de l’étude conduisant à une augmentation des heures consacrées à l’affaire. La simple énumération de ces motifs montre que le grief de motivation insuffisante est infondé. D’ailleurs, le recourant expose dans son acte de recours les griefs lui permettant d’attaquer utilement la décision de première instance. Le premier moyen doit ainsi être rejeté.</w:t>
      </w:r>
    </w:p>
    <w:p>
      <w:r>
        <w:rPr>
          <w:b/>
        </w:rPr>
        <w:t>E. 4</w:t>
      </w:r>
    </w:p>
    <w:p>
      <w:r>
        <w:t>Le recourant invoque ensuite une constatation manifestement inexacte des faits. Il soutient que l’autorité intimée aurait abusé de son pouvoir d’appréciation et aurait apprécié de manière arbitraire les preuves pour retenir que 30 heures suffisaient à l’accomplissement du mandat.</w:t>
      </w:r>
    </w:p>
    <w:p>
      <w:r>
        <w:rPr>
          <w:b/>
        </w:rPr>
        <w:t>E. 4.1</w:t>
      </w:r>
    </w:p>
    <w:p>
      <w:r>
        <w:t>En premier lieu il faut constater que l’avocat admet lui-même dans son recours s’être trompé en incluant les opérations liées à la procédure de mainlevée dans le relevé des opérations adressé au premier juge. Il admet qu’il est justifié « pour que la liste des opérations soit correcte » d’ôter 7h 67 (sic) pour un avocat breveté et 17h 00 pour l’avocat-stagiaire, de sorte qu’il y aurait lieu en définitive de retenir 11 h 08 pour les avocats brevetés et 83 h 28 pour l’avocat-stagiaire. La réduction du nombre d’heures par le premier juge était ainsi justifiée dans son principe et le recourant ne peut s’en prendre qu’à lui-même si l’autorité de première instance s’est écartée des heures annoncées, celles-ci étant quoi qu’il en soit exagérées.</w:t>
      </w:r>
    </w:p>
    <w:p>
      <w:r>
        <w:rPr>
          <w:b/>
        </w:rPr>
        <w:t>E. 4.2</w:t>
      </w:r>
    </w:p>
    <w:p>
      <w:r>
        <w:t>En outre, au regard des opérations judiciaires accomplies, soit les écritures rédigées ou examinées et les deux audiences auxquelles le stagiaire a participé, d’une durée respective de 1h30 et 1h15, le nombre d’heures d’opérations du stagiaire est effectivement exagéré et la réduction importante à laquelle a procédé le premier juge ne relève pas d’un abus du pouvoir d’appréciation. Certaines exagérations concernent des questions factuelles, comme par exemple le temps facturé pour le déplacement aux audiences, alors qu’il est compris dans l’indemnité forfaitaire de 80 francs par audience (CREC 26 octobre 2012/240 c. 3). D’autres concernent l’appréciation juridique de certaines opérations, car elles ne s’inscrivent pas dans le cadre d’un accomplissement raisonnable de la tâche du conseil d’office. A titre d’exemple, le temps consacré à la seule requête de mesures provisionnelles, compte non tenu des opérations consacrées simultanément au dépôt de la demande de divorce ainsi que des entretiens et échanges de correspondance avec la cliente, totalise près de 26 heures pour une écriture de douze pages, ce qui apparaît manifestement disproportionné s’agissant d’une requête ne présentant pas de difficulté particulière. En définitive, en fixant le nombre d’heures nécessaires au traitement du dossier le premier juge n’a pas procédé à une appréciation probatoire arbitraire. Constatant qu’il devait réduire le nombre d’heures, il s’est fondé à juste titre sur les actes accomplis dans le déroulement de la procédure, soit l’échange d’écritures et l’audience dans le cadre des mesures provisionnelles et l’échange d’écritures et l’audience de premières plaidoiries dans la procédure au fond. On peut dès lors décompter les opérations de la manière suivante : - Mesures provisionnelles : - rédaction de la requête (6h), - examen du procédé écrit et préparation de l’audience (1h), - audience (1h30). - Procédure au fond : - rédaction de la demande et de la réplique (12h), - examen des déterminations finales et préparation de l’audience (1h), - audience (1h15). Ces opérations totalisent près de 24 heures. Il subsiste encore plus de 6 heures pour les conférences avec la cliente ainsi que la correspondance avec elle, la partie adverse et les tiers, ce qui est suffisant. Bien que les heures ont été comptabilisées de manière restrictive par le premier juge, on ne saurait pour autant tenir le résultat pour arbitraire, au motif, comme on l’a dit, que le décompte de l’avocat devait être quoi qu’il en soit réduit et que le pouvoir d’appréciation du juge est étendu en la matière. C’est en particulier à raison que le premier juge a retenu que la formation du stagiaire représentait une part importante des opérations facturées en trop et il suffit de relever le nombre de fois très élevé où figurent sur le détail des opérations les mentions « supervision, corrections, ultimes corrections, revue, révision et finalisation (de requêtes, projets, courriels, etc…) » pour confirmer l’appréciation du premier juge. Le deuxième grief doit également être rejeté.</w:t>
      </w:r>
    </w:p>
    <w:p>
      <w:r>
        <w:rPr>
          <w:b/>
        </w:rPr>
        <w:t>E. 5</w:t>
      </w:r>
    </w:p>
    <w:p>
      <w:r>
        <w:t>Le recourant invoque enfin une violation des art. 2 al. 1 RAJ (règlement du 7 décembre 2010 sur l’assistance judiciaire en matière civile; RSV 211.02.3) et 122 al. 1 CPC et soutient que la complexité de la cause n’a pas été prise en compte par le premier juge. A cet égard, il fait valoir que les parties détiennent en commun un patrimoine immobilier composé de deux immeubles dont la valeur cumulée ascende à près de 1’400'000 fr. ainsi qu’un emprunt bancaire garanti par une hypothèque dont le solde est d’environ 400'000 francs.</w:t>
      </w:r>
    </w:p>
    <w:p>
      <w:r>
        <w:rPr>
          <w:b/>
        </w:rPr>
        <w:t>E. 5.1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L’avocat d’office a droit au remboursement intégral de ses débours s’inscrivant dans le cadre de l’accomplissement normal de sa tâche, plus à une indemnité s’apparentant aux honoraires d’un avocat de choix, mais qui peut être inférieure à ces honoraires (ATF 122 I 1 c. 3a ; ATF 117 la 22 c. 4a ; TF 6B_745/2009 du 12 novembre 2009 c. 10.1 ; TF 6B_273/2009 du 2 juillet 2009 c. 2.1 ; TF 6B_960/2008 du 22 janvier 2009 c. 1.1 ; TF 6B_947/2008 du 16 janvier 2009 c. 2; Tappy, op. cit., n. 8 ad art. 122 CPC).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 ; ATF 117 la 22 c. 3a ; TF 6B_745/2009 du 12 novembre 2009 c. 10.1 ; TF 6B_273/2009 du 2 juillet 2009 c. 2.1 ; TF 6B_102/2009 du 14 avril 2009 c. 2 ; TF 6B_960/2008 du 22 janvier 2009 c. 1.1 ; TF 6B_947/2008 du 16 janvier 2009 c. 2). Pour fixer la quotité de l’indemnité du conseil d’office, l’autorité cantonale doit s’inspirer des critères applicables à la modération des honoraires d’avocat (Donzallaz, Loi sur le Tribunal fédéral, Commentaire, Berne 2008, n. 1775 ad art. 64 LTF; ATF 122 l 1 c.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relevant de l’aide sociale (CREC 8 août 2011/22).</w:t>
      </w:r>
    </w:p>
    <w:p>
      <w:r>
        <w:rPr>
          <w:b/>
        </w:rPr>
        <w:t>E. 5.2</w:t>
      </w:r>
    </w:p>
    <w:p>
      <w:r>
        <w:t>En l’espèce, comme déjà relevé, le nombre d’opérations accomplies notamment par l’avocat-stagiaire ne peuvent pas toutes entrer dans le cadre de l’accomplissement raisonnable de la tâche du conseil d’office. Il en va ainsi tout particulièrement des heures d’activités qui ont été nécessaires pour la formation de l’avocat-stagiaire, mais également en raison de la multiplication des contacts et des entretiens avec la cliente, le nombre de conférences, de lettres et de courriels attestant d’un soutien non seulement juridique mais également moral. Par ailleurs, il n’apparaît pas que la cause présente des caractéristiques telles qu’elle nécessite un engagement accru du conseil d’office et des opérations d’une complexité particulière, hormis la question des deux immeubles détenus en commun par les parties, qui doit encore être traitée par l’expertise mise en œuvre dans le cadre de la liquidation du régime matrimonial. A cet égard, le temps consacré par le recourant à l’étude de la situation financière de sa cliente (9 heures) apparaît manifestement exagéré, les parties exerçant au demeurant toutes deux une activité salariée et percevant de modestes revenus ou rentes. La cause ne s’avère ainsi pas particulièrement complexe sous l’angle de la fixation de la contribution d’entretien. Au surplus, le recourant n’allègue pas avoir été confronté à des difficultés particulières s’agissant de l’établissement des faits relatifs à la situation matérielle de la partie adverse, notamment de s’être heurté à son manque de collaboration, ni d’avoir dû consacrer plus de temps à sa cliente, domiciliée dans le canton et maîtrisant apparemment la langue française, de sorte que le recourant ne saurait tirer argument de la cause jugée dans l’arrêt CREC/240 du 16 juillet 2013. Mal fondé, ce moyen doit également être rejeté.</w:t>
      </w:r>
    </w:p>
    <w:p>
      <w:r>
        <w:rPr>
          <w:b/>
        </w:rPr>
        <w:t>E. 6</w:t>
      </w:r>
    </w:p>
    <w:p>
      <w:r>
        <w:t>Le recourant invoque en dernier lieu les articles 27 al. 3 Cst. VD (Constitution du Canton de Vaud du 14 avril 2003 ; RSV 101.01) et 29 al. 3 Cst., garantissant aux personnes sans ressources suffisantes le droit à l’assistance judiciaire. Il soutient qu’en rémunérant insuffisamment l’avocat commis d’office, l’autorité judiciaire inciterait celui-ci à ne pas mettre toutes les mesures en œuvre pour effectuer une défense correcte des intérêts de son client, ne gardant à l’esprit que la nécessité de justifier ses opérations en vue d’être payé pour les efforts qu’il consent. Ces dispositions constitutionnelles ne confèrent toutefois pas une portée plus étendue que celles examinées précédemment, en particulier l’art. 122 al. 1 let. a CPC, s’agissant de la rémunération de l’avocat commis d’office. Le recours doit ainsi être rejeté sur ce point.</w:t>
      </w:r>
    </w:p>
    <w:p>
      <w:r>
        <w:rPr>
          <w:b/>
        </w:rPr>
        <w:t>E. 7</w:t>
      </w:r>
    </w:p>
    <w:p>
      <w:r>
        <w:t>En définitive, le recours doit être rejeté en application de l’art. 322 al. 1 CPC et le prononcé confirmé. Les frais judiciaires de deuxième instance, arrêtés à 400 fr. (art. 69 al.1 TFJC), sont mis à la charge du recourant qui succombe (art. 106 al. 1 CPC). Par ces motifs, la Chambre des recours civile du Tribunal cantonal, statuant à huis clos, en application de l'art. 322 al. 1 CPC, prononce : I. Le recours est rejeté. II. Le prononcé est confirmé. III. Les frais judiciaires de deuxième instance, arrêtés à 400 fr. (quatre cents francs), sont mis à la charge du recourant I.________. IV. L’arrêt motivé est exécutoire. Le président :               Le greffier : Du 24 février 2014 Le dispositif de l'arrêt qui précède est communiqué par écrit aux intéressés. Le greffier : Du L'arrêt qui précède, dont la rédaction a été approuvée à huis clos, est notifié en expédition complète, par l'envoi de photocopies, à : ‑ Me I.________, ‑ Mme A.Q.________.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