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 vom 13. Dezember 2013</w:t>
      </w:r>
    </w:p>
    <w:p>
      <w:r>
        <w:t>VD Tribunal cantonal, 2013-12-13, FR</w:t>
      </w:r>
    </w:p>
    <w:p>
      <w:r>
        <w:rPr>
          <w:b/>
        </w:rPr>
        <w:t xml:space="preserve">Quelle: </w:t>
      </w:r>
      <w:r>
        <w:t>https://mcp.opencaselaw.ch/entscheid/vd_findinfo_HC___2014___18</w:t>
      </w:r>
    </w:p>
    <w:p>
      <w:r>
        <w:t>FR: VD_FINDINFO HC / 2014 / 18 du 13 décembre 2013</w:t>
      </w:r>
    </w:p>
    <w:p>
      <w:r>
        <w:t>IT: VD_FINDINFO HC / 2014 / 18 del 13 dicembre 2013</w:t>
      </w:r>
    </w:p>
    <w:p>
      <w:pPr>
        <w:pStyle w:val="Heading2"/>
      </w:pPr>
      <w:r>
        <w:t>Regeste</w:t>
      </w:r>
    </w:p>
    <w:p>
      <w:r>
        <w:t>DÉLAI ABSOLU, DÉLAI DE GARDE, CALCUL DU DÉLAI, OBSERVATION DU DÉLAI | 273 al. 1 CO, 308 al. 2 CPC (CH)</w:t>
      </w:r>
    </w:p>
    <w:p>
      <w:pPr>
        <w:pStyle w:val="Heading2"/>
      </w:pPr>
      <w:r>
        <w:t>Erwägungen</w:t>
      </w:r>
    </w:p>
    <w:p>
      <w:r>
        <w:rPr>
          <w:b/>
        </w:rPr>
        <w:t>E. 1.1</w:t>
      </w:r>
    </w:p>
    <w:p>
      <w:r>
        <w:t>L'appel est recevable contre les décisions finales et les décisions incidentes de première instance, dans les causes patrimoniales dont la valeur litigieuse est supérieure à 10'000 francs (art. 308 al. 1 let. a et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w:t>
      </w:r>
    </w:p>
    <w:p>
      <w:r>
        <w:rPr>
          <w:b/>
        </w:rPr>
        <w:t>E. 1.2</w:t>
      </w:r>
    </w:p>
    <w:p>
      <w:r>
        <w:t>Une décision est finale au sens de l'art. 236 CPC si elle met fin au procès, soit en tranchant le fond, soit en raison d'un motif de procédure (Tappy, op. cit.), fût-ce in limine litis (Rétornaz, L'appel et le recours, in Procédure civile suisse, les Grands thèmes pour les praticiens, 2010, p. 357). Contrairement à la LTF (loi du 17 juin 2005 sur le Tribunal fédéral;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al. 2 CPC) –, est attaquable immédiatement, sous peine de péremption du droit d'appel ou de recours au même titre qu'une décision finale (Jeandin, CPC commenté, 2011, n. 8 ad art. 308 CPC ; CACI 2013/59 du 28 janvier 2013).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3e éd., 2002, n. 1 ad art. 285 CPC-VD).</w:t>
      </w:r>
    </w:p>
    <w:p>
      <w:r>
        <w:rPr>
          <w:b/>
        </w:rPr>
        <w:t>E. 1.3</w:t>
      </w:r>
    </w:p>
    <w:p>
      <w:r>
        <w:t>En l'espèce, l'appel est dirigé contre un jugement disjoint déclarant irrecevable la conclusion tendant à l’annulation de la résiliation qui a été signifiée à l’appelante le 11 janvier 2012 pour le 31 mars 2012, ce qui a pour conséquence de régler définitivement cette question, dont le sort est indépendant de celui de certaines questions à trancher, qui devront être résolues indépendamment, notamment celle de la question de la réduction du loyer pour défaut de la chose louée de 15%, respectivement 5%, dès le 1 er décembre 2011 (conclusions III et V de la demande). Dès lors que la décision entreprise met fin au procès sur certains points, il s’agit d’une décision partielle, assimilée à une décision finale susceptible d’être attaquée par la voie de l’appel.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2011 I 17 c. 1a; ATF 119 II 147 c. 1,      JT 1994 I 205). En l'espèce, la valeur litigieuse est supérieure à 10'000 fr. (le loyer mensuel est de 1'300 fr.), si bien que la voie de l'appel est ouverte (art. 308 al. 2 CPC). L'appel a par ailleurs été déposé en temps utile par la locataire qui a un intérêt à agir (art. 59 al. 2 let. a CPC), de sorte qu'il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(JT 2011 III 43 c. 2; Tappy, op. cit., JT 2010 III 135).</w:t>
      </w:r>
    </w:p>
    <w:p>
      <w:r>
        <w:rPr>
          <w:b/>
        </w:rPr>
        <w:t>E. 3.1</w:t>
      </w:r>
    </w:p>
    <w:p>
      <w:r>
        <w:t>L’appelante reproche aux premiers juges d’avoir considéré que le délai de trente jours fixé à l’art. 273 al. 1 CO avait commencé à courir dès le lendemain du jour où l’invitation à retirer un envoi avait été déposée dans sa boîte aux lettres. Elle soutient que la théorie de la réception dite absolue ne s’applique qu’aux délais de droit matériel auxquels il convient d’opposer, comme en l’espèce, les délais procéduraux.</w:t>
      </w:r>
    </w:p>
    <w:p>
      <w:r>
        <w:rPr>
          <w:b/>
        </w:rPr>
        <w:t>E. 3.2</w:t>
      </w:r>
    </w:p>
    <w:p>
      <w:r>
        <w:t>En vertu du principe de l’unité de l’ordre juridique, la computation d’un délai doit se faire d’après le droit qui fixe ce délai. L’art. 273 al. 2 let. a CO dispose que le locataire qui veut demander une prolongation du bail doit saisir l’autorité de conciliation, lorsqu’il s’agit d’un bail de durée indéterminée, dans les trente jours qui suivent la réception du congé. Le Code des obligations, par cette norme, règle le point de départ du délai pour saisir l’autorité de conciliation d’une requête tendant à la prolongation dudit bail et c’est ainsi au regard des principes généraux déduits de l’art. 77 CO, lequel s’applique pour tous les délais fixés par le Code des obligations, qu’il faut déterminer le dies a quo du délai. En effet, l’art. 77 al. 2 CO prévoit que le délai peut courir à partir d’une époque autre que celle de la conclusion du contrat, laquelle est alors arrêtée par la disposition du droit civil matériel qui institue ce délai (ATF 137 III 208 c. 3.1.2). En se référant à la notion de « réception du congé », l’art. 273 al. 2 let. a CO fait partir le délai de la communication unilatérale de volonté du bailleur de résilier le  bail (ATF 137 III 208 c. 3.1.1). 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En matière de bail, il n’est dérogé à la théorie de la réception absolue que dans deux cas, soit pour la communication de l’avis de majoration du loyer au sens de l’art. 269d CO (ATF 107 II 189 c. 2) et celle de la sommation de payer instituée par l’art. 257d al. 1 CO (ATF 119 II 147 c. 2) (sur le tout : TF 4A_471/2013 du 11 novembre 2013 c. 2  ad CACI 4 juillet 2013/359, qui concerne le point départ du délai de l’art. 273 CO). On doit s’en tenir à cette jurisprudence récente, quand bien même celle-ci ne discute guère la solution contraire de la CACI qui, s’appuyant sur la doctrine majoritaire, avait retenu l’application de la théorie relative (CACI 4 juillet 2013/359, pour une critique de l’arrêt TF 4A_471/2013, cf. Bohnet, (Faux) départ du délai pour contester le congé, Newsletter Bail.ch janvier 2014).</w:t>
      </w:r>
    </w:p>
    <w:p>
      <w:r>
        <w:rPr>
          <w:b/>
        </w:rPr>
        <w:t>E. 3.4</w:t>
      </w:r>
    </w:p>
    <w:p>
      <w:r>
        <w:t>En l’espèce, le congé litigieux a été envoyé à l’appelante par courrier recommandé du 12 janvier 2012 et une invitation à retirer un envoi a été déposée dans la boîte aux lettres de celle-ci le 13 janvier 2012. Le point de départ du délai de péremption instauré par l’art. 273 CO se déterminant, selon la jurisprudence précitée, d’après le système de la réception absolue, et pas selon la théorie relative de la réception, le congé litigieux est parvenu dans la sphère d’influence de G.________ le 13 janvier 2012 et le délai de trente jours, fixé à l’art. 273 al. 1 CO, a commencé à courir dès le lendemain, soit le 14 janvier 2012. Il s’ensuit qu’en saisissant le 17 février 2012 la Commission de conciliation de sa demande d’annulation du congé, l’appelante n’a pas contesté le congé en temps utile. C’est donc à juste titre que les premiers juges ont considéré que la conclusion de l’appelante tendant à l’annulation du congé litigieux était irrecevable.</w:t>
      </w:r>
    </w:p>
    <w:p>
      <w:r>
        <w:rPr>
          <w:b/>
        </w:rPr>
        <w:t>E. 4</w:t>
      </w:r>
    </w:p>
    <w:p>
      <w:r>
        <w:t>En conclusion, l’appel doit être rejeté en application de l’art. 312 al. 1 CPC et le jugement confirmé. Les frais judiciaires, arrêtés à 1'468 fr. (art. 62 al. 1 TFJC [tarif des frais judiciaires civils du 28 septembre 2010, RSV 270.11.5]), doivent être mis à la charge de l’appelante, qui succombe (art. 106 al. 1 CPC).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