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172 vom 7. März 2014</w:t>
      </w:r>
    </w:p>
    <w:p>
      <w:r>
        <w:t>VD Tribunal cantonal, 2014-03-07, FR</w:t>
      </w:r>
    </w:p>
    <w:p>
      <w:r>
        <w:rPr>
          <w:b/>
        </w:rPr>
        <w:t xml:space="preserve">Quelle: </w:t>
      </w:r>
      <w:r>
        <w:t>https://mcp.opencaselaw.ch/entscheid/vd_findinfo_HC___2014___172</w:t>
      </w:r>
    </w:p>
    <w:p>
      <w:r>
        <w:t>FR: VD_FINDINFO HC / 2014 / 172 du 7 mars 2014</w:t>
      </w:r>
    </w:p>
    <w:p>
      <w:r>
        <w:t>IT: VD_FINDINFO HC / 2014 / 172 del 7 marzo 2014</w:t>
      </w:r>
    </w:p>
    <w:p>
      <w:pPr>
        <w:pStyle w:val="Heading2"/>
      </w:pPr>
      <w:r>
        <w:t>Regeste</w:t>
      </w:r>
    </w:p>
    <w:p>
      <w:r>
        <w:t>EXPULSION DE LOCATAIRE, DEMEURE DU DÉBITEUR, DISTRIBUTION DU COURRIER | 257d CO, 257 al. 1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 TF 4A_634/2009 du 3 mars 2010 c. 1.1 ; SJ 2001 I 17 c. 1a ; ATF 119 II 147 c. 1). En l’espèce, les loyers mensuels, charges comprises, s’élèvent à 3'650 fr. pour le local commercial situé au rez et à 3'750 fr. pour celui situé au 2 ème étage. La valeur litigieuse est ainsi largement supérieure à 10'000 fr., de sorte que la voie de l’appel est ouverte (art. 308 al. 2 CPC).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13 février 2014, alors que l’ordonnance attaquée avait été distribuée à l’appelante le 3 février 2014, l’appel a été déposé en temps utile, par une partie qui y a par ailleurs intérêt (art. 59 al. 2 let. a CPC), de sorte qu’il est recevable à la forme. c) Compte tenu des moyens développés dans l’appel, on doit comprendre que, bien que les conclusions soient en annulation de l’ordonnance, l’appel tend en réalité à la réforme celle-ci en ce sens que l’expulsion de l’appelante n’est pas ordonnée. Il doit en effet être entré en matière sur des conclusions formellement déficientes, lorsqu’on comprend à la lecture de la motivation ce que demande l’appelant, les conclusions devant être interprétées à la lumière de la motivation de l’appel (ATF 137 III 617 c. 6.2; TF 5A_855/2012 du 13 février 2013 c. 3.3.2; TF 5A_713/2012 du 15 février 2013 c. 4.1; TF 5A_621/2012 du 20 mars 2013, liquidation du régime matrimonial).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3</w:t>
      </w:r>
    </w:p>
    <w:p>
      <w:r>
        <w:t>L’appelante a produit avec son appel un bordereau de six nouvelles pièces. Elle ne démontre toutefois pas qu’il lui aurait été impossible malgré sa diligence de produire ces pièces devant les premiers juges (art. 317 al. 1 let. a et b CPC), de sorte qu’elles sont irrecevables. Pour les mêmes motifs, il n’y a pas lieu de donner suite à sa requête tendant à la production de toute preuve de la « prétendue » réception des avis comminatoires.</w:t>
      </w:r>
    </w:p>
    <w:p>
      <w:r>
        <w:rPr>
          <w:b/>
        </w:rPr>
        <w:t>E. 4</w:t>
      </w:r>
    </w:p>
    <w:p>
      <w:r>
        <w:t>Dans un premier grief, l’appelante soutient qu’elle n’a pas reçu les avis comminatoires. En l’occurrence, la bailleresse a produit une copie desdits avis, sur lesquels avaient été collées des étiquettes faisant figurer le numéro d’envoi recommandé de la poste, ainsi que les documents intitulés « suivi des envois» correspondant à ces numéros et indiquant qu’une distribution avait eu lieu le 15 juillet 2013. Aucun élément au dossier ne permet de retenir ou seulement de supposer que, comme le laisse entendre l’appelante, un tiers non autorisé aurait reçu ces avis, apposé sa signature sur les accusés de réception et omis ensuite de transmettre les avis à leur destinataire. Dans ces conditions, il y a lieu d’admettre que l’appelante a bien reçu les avis le 15 juillet 2013. Son premier moyen doit être rejeté.</w:t>
      </w:r>
    </w:p>
    <w:p>
      <w:r>
        <w:rPr>
          <w:b/>
        </w:rPr>
        <w:t>E. 5</w:t>
      </w:r>
    </w:p>
    <w:p>
      <w:r>
        <w:t>L’appelante conteste ensuite l’application de la procédure sommaire, faisant valoir qu’il ne s’agit pas d’un cas clair. 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c) En l’espèce, l’intimée a respecté la procédure de l’art. 257d CO et l’appelante ne conteste pas le fait qu’elle n’a pas réglé le montant de ses arriérés de loyers dans le délai de trente jours qui lui avait été imparti à cet effet. En définitive, elle se borne à contester la réception de l’avis comminatoire, sans toutefois avoir apporté un quelconque moyen de preuve à l’appui de ses allégations. Dans ces circonstances, il n’y a pas lieu de remettre en cause l’application, par le premier juge, de la procédure régissant les cas clairs.</w:t>
      </w:r>
    </w:p>
    <w:p>
      <w:r>
        <w:rPr>
          <w:b/>
        </w:rPr>
        <w:t>E. 6</w:t>
      </w:r>
    </w:p>
    <w:p>
      <w:r>
        <w:t>Au vu de ce qui précède, l’appel doit être rejeté selon le mode procédural de l’art. 312 al. 1 CPC. Compte tenu de l’effet suspensif accordé à l’appel de par la loi (art. 315 al. 1 CPC), la cause doit être renvoyée au premier juge afin qu’il fixe à l’appelante, une fois les considérants écrits du présent arrêt envoyés, un nouveau délai pour libérer les locaux en cause. Vu l’issue du litige, les frais judiciaires de deuxième instance, fixés à 749 fr. (art. 62 al. 3 et 69 al. 1 TFJC [Tarif des frais judiciaires civils du 28 septembre 2010, RSV 270.11.5]), seront supportés par l’appelante conformément à l’art. 106 al. 1 CPC. Il n’y a pas lieu d’allouer des dépens, l’intimée n’ayant pas été invitée de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