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171 vom 6. Februar 2014</w:t>
      </w:r>
    </w:p>
    <w:p>
      <w:r>
        <w:t>VD Tribunal cantonal, 2014-02-06, FR</w:t>
      </w:r>
    </w:p>
    <w:p>
      <w:r>
        <w:rPr>
          <w:b/>
        </w:rPr>
        <w:t xml:space="preserve">Quelle: </w:t>
      </w:r>
      <w:r>
        <w:t>https://mcp.opencaselaw.ch/entscheid/vd_findinfo_HC___2014___171</w:t>
      </w:r>
    </w:p>
    <w:p>
      <w:r>
        <w:t>FR: VD_FINDINFO HC / 2014 / 171 du 6 février 2014</w:t>
      </w:r>
    </w:p>
    <w:p>
      <w:r>
        <w:t>IT: VD_FINDINFO HC / 2014 / 171 del 6 febbraio 2014</w:t>
      </w:r>
    </w:p>
    <w:p>
      <w:pPr>
        <w:pStyle w:val="Heading2"/>
      </w:pPr>
      <w:r>
        <w:t>Regeste</w:t>
      </w:r>
    </w:p>
    <w:p>
      <w:r>
        <w:t>MODIFICATION DES CIRCONSTANCES, REVENU HYPOTHÉTIQUE, OBLIGATION D'ENTRETIEN, ENFANT | 286 al. 2 CC, 286 CC</w:t>
      </w:r>
    </w:p>
    <w:p>
      <w:pPr>
        <w:pStyle w:val="Heading2"/>
      </w:pPr>
      <w:r>
        <w:t>Erwägungen</w:t>
      </w:r>
    </w:p>
    <w:p>
      <w:r>
        <w:rPr>
          <w:b/>
        </w:rPr>
        <w:t>E. 1</w:t>
      </w:r>
    </w:p>
    <w:p>
      <w:r>
        <w:t>a) L'art. 308 al. 1 let. b CPC (Code de procédure civile du 19 décembre 2008; RS 272) ouvre la voie de l'appel contre les ordonnances de mesures provisionnelles rendues dans les causes patrimoniales dont la valeur litigieuse est supérieure à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b) En l'espèce, la décision rendue 28 octobre 2013 a été notifiée au conseil de A.K.________ le lendemain. Le délai d’appel a ainsi commencé à courir le 30 octobre 2013. Déposé le 8 novembre 2013, l'appel a été interjeté en temps utile par une partie qui y a intérêt (art. 59 al. 2 let. a CPC) et porte sur des conclusions qui, capitalisées selon l'art. 92 al. 2 CPC, sont supérieures à 10'000 francs. Il est donc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(JT 2011 III 43; Tappy, Les voies de droit du nouveau Code de procédure civile, in JT 2010 III 115, spéc. pp. 134 à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Ces exigences s'appliquent aux litiges soumis à la maxime inquisitoire (ATF 138 III 625 c. 2.2), le cas où le premier juge a violé cette maxime en omettant de faire porter l’instruction sur un point pertinent demeurant réservé, mais pas aux litiges relevant de la maxime d’office, par exemple ceux portant sur la situation d’enfants mineurs en droit matrimonial à tout le moins lorsque le juge de première instance a violé la maxime inquisitoire illimitée (JT 2011 III 43). c) En l'espèce, le litige porte sur la contribution alimentaire due à des enfants mineurs. Dès lors, la maxime inquisitoire illimitée s'applique et les pièces produites par l'appelant sont recevables.</w:t>
      </w:r>
    </w:p>
    <w:p>
      <w:r>
        <w:rPr>
          <w:b/>
        </w:rPr>
        <w:t>E. 3</w:t>
      </w:r>
    </w:p>
    <w:p>
      <w:r>
        <w:t>L’appelant reproche au premier juge d’avoir maintenu le revenu hypothétique que lui avait imputé le juge du divorce en 2009 et qui était basé sur ses revenus à l’époque où il travaillait dans le domaine de la finance. Il soutient qu’il est incapable pour des raisons de santé de travailler dans ce domaine, raison pour laquelle il a décidé de se reclasser dans l’enseignement de l’économie et du droit, et qu’il lui est dès lors impossible de gagner plus d’argent tout en suivant sa nouvelle formation. Il allègue qu’il a fait un burn-out fin 2006 et début 2007, soit précisément au moment où il travaillait dans le domaine de la finance, et qu’il a aussi subi, en juin 2007, soit à la même période, un épisode de migraines céphalalgiques particulièrement éprouvant. Il soutient qu’il est considéré par le corps médical comme inapte à un emploi dans la finance, avec son lot de stress intense. Il fait en outre valoir que lors du jugement de divorce, personne n’a pu attirer son attention sur l’importance de son état de santé pour l’appréciation de sa capacité contributive, en particulier suite à son burn-out, arguant que ce n’est pas parce qu’il a refusé de faire appel à l’assurance-invalidité à l’époque de son AVC et de son burn-out qu’il n’a pas le droit de se réorienter. a)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4 ème éd., 2010, n. 3 et 4 ad art. 134 CC, pp. 904-905; TF 5A_324/2009 du 25 mars 2010 c. 2.1.; ATF 120 II 177 c. 3a) ; elle peut intervenir sans qu'il soit besoin d'examiner si les faits nouveaux invoqués pour la justifier étaient ou non prévisibles au jour du premier jugement (ATF 131 III 189 c. 2.7.4, JT 2005 I 324 ; ATF 128 III 305 c. 5b, JT 2003 I 50 ; TF 5C_214/2004 du 16 mars 2005 c. 2.1 ; Hegnauer, Berner Kommentar, 1997, n. 67 ad art. 286 CC, p. 385 ; Breitschmid, op. cit., n. 11 ad art. 286 CC, p. 1545). On présume néanmoins que la contribution d'entretien a été fixée en tenant compte des modifications prévisibles, soit celles qui, bien que futures, sont déjà certaines ou fort probables (TF 5A_562/2011 du 21 février 2012 c. 4.2, rés. RMA 2012 p. 300). La procédure de modification ne doit pas viser à réexaminer ou corriger le jugement de divorce, mais à l'adapter aux circonstances nouvelles survenues chez les parents ou chez l'enfant (ATF 131 III 189 c. 2.7.4; ATF 120 II 177 c. 3a). Ainsi, le juge de la modification est lié par les constatations de fait sur lesquelles s'est fondé le juge du divorce, notamment quant aux revenus respectifs des parties au moment du divorce (TF 5A_685/2007 du 26 février 2008 c. 2.2.; ATF 117 II 359 c. 6, JT 1994 I 322). Pour déterminer si la situation a notablement changé, au point qu'une autre décision s'impose, il faut examiner dans quelle mesure les capacités financières et les besoins respectifs des parties ont évolué depuis le divorce (TF 5A_324/2009 du 25 mars 2010 c. 2.1; ATF 131 III 189 c. 2.7.4). La proportion entre les pensions et les revenus du débirentier telle qu'arrêtée dans la convention sur les effets accessoires du divorce doit en principe être respectée en cas de modification du jugement de divorce (ATF 108 II 30 c. 8, JT 1984 I 255). La modification d'un jugement de divorce sur la question du sort des enfants est régie par l'art. 134 CC (art. 284 al. 1 CPC). Aux termes de l'art. 284 al. 3 CPC, la procédure de divorce sur requête unilatérale s’applique par analogie à la procédure contentieuse de modification. Le Code de procédure civile ne règle pas expressément la question des mesures provisionnelles dans le cadre d'une telle procédure. Toutefois, en tant que disposition générale de la procédure de divorce (art. 271 ss CPC), l'art. 276 CPC relatif aux mesures provisionnelles devrait également s'appliquer par analogie dans le cadre d'une procédure en modification de jugement de divorce (Sutter-Somm/Seiler, in Sutter-Somm/Hasenböhler/Leuenberger Kommentar zur Schweizerischen Zivilprozessordnung, Zurich 2010, n. 32 ad art. 284 CPC, p. 1671 s.; van der Graaf, in Kurzkommentar ZPO, Bâle 2010, n. 6 ad art. 284 CPC, p. 1099; Siehr, in Basler Kommentar, Bâle 2010, n. 8 ad art. 284 CPC, p. 1384; Schwenzer, FamKomm Scheidung, Band I: ZGB, Berne 2011, n. 52 ad art. 129 CC, p. 318; contra Tappy, CPC commenté, Bâle 2011, n. 8 ad art. 276 CPC, p. 1088, qui considère que les procédures en divorce et en modification de divorce présentent des différences telles qu'il serait plus satisfaisant de soumettre les mesures provisionnelles requises en cas de modification du jugement de divorce aux règles ordinaires concernant la protection provisionnelle, notamment les art. 261 ss CPC). Quoi qu'il en soit, la jurisprudence antérieure à l'entrée en vigueur du Code de procédure civile reste inchangée. Selon celle-ci, la suppression à titre provisionnel d'une contribution d'entretien dans le cadre d'une procédure de modification de jugement de divorce n'est admise que restrictivement et présuppose une urgence et des circonstances particulières (ATF 118 II 228; TF 5P.101/2005 du 12 août 2005 c. 3; Tappy, Commentaire romand, n. 4 ad art. 137 CC; Juge délégué CACI 26 janvier 2012 c. 3 b) bb). Des mesures provisionnelles dans un procès en modification ne peuvent ainsi être ordonnées que sur la base de circonstances de fait limpides, qui permettent d’évaluer de manière suffisamment fiable l’issue prévisible du procès au fond (TF 5P_415/2004 du 5 janvier 2005 c. 3.1; TF 5P_349/2001 du 6 novembre 2001 c. 4 et TF 5P_269/2004 du 3 novembre 2004 c. 2, avec références à Bühler/Spühler,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5P_415/2004 du 5 janvier 2005 c. 3.1; ATF 118 II 378 c. 3b; ATF 120 II 393 c. 4c). En outre,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n. 14 et 17 ad art. 261 CPC). Comme pour toutes les mesures provisionnelles, le juge doit pondérer le droit présumé du requérant à la mesure conservatoire avec les conséquences irréparables que celle-ci peut entraîner pour l’intimé (cf. ATF 131 III 473 c. 2.3; Juge délégué CACI 6 juillet 2012/316; Juge délégué CACI 7 août 2013/391). b)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(arrêts précités TF 5A_99/2011 c. 7.4.1; TF 5A_18/2011 c. 3.1.1; TF 5A_290/2010 c.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p. 108; ATF 128 III 4 c. 4c/bb pp. 7s). Le débirentier qui décide de changer d'orientation professionnelle, alors qu'il sait, ou doit savoir, qu'il doit assumer des obligations d'entretien, peut raisonnablement se voir imputer un revenu hypothétique, ce avec effet rétroactif au jour de la diminution (ATF 137 III 118 c.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TF 5A_21/2012 du 3 mai 2012 c. 3.3). Les parents doivent ainsi s'adapter tant du point de vue professionnel que du point de vue spatial pour épuiser de manière maximale leur capacité de travail (TF 5A_513/2012 du 17 octobre 2012 c. 5, in La Pratique de la famille [FamPra.ch] 2013 p. 236).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Juge délégué CACI 15 août 2012/382). c) La modification ou la suppression d’une contribution d’entretien n’est possible que si les circonstances ayant prévalu à la fixation originaire de la contribution ont subi un changement notable et, en principe, durable. A l’appui de son appel, l’appelant a produit de nombreux certificats médicaux attestant son incapacité de travail à 100 % du 13 mars 2007 au 30 mai 2007 environ, avec de brèves périodes d'interruption. Ces documents ne précisent toutefois pas la pathologie qui a provoqué ces incapacités de travail. Le diagnostic de burn-out n’a en particulier pas été posé et certains certificats médicaux établis par des praticiens différents concernent les mêmes périodes. Comme grief à l’encontre de l’ordonnance attaquée, l’appelant allègue qu’en raison de son burn-out de 2006/2007, il lui est impossible de travailler dans le monde stressant de la finance, de sorte qu’un revenu hypothétique de 5'000 à 7'000 fr. ne saurait être retenu. Force est toutefois de constater que, dans son jugement du 28 mai 2009, le juge du divorce avait connaissance du burn-out de l’appelant, puisqu'il en a fait mention dans le jugement rendu, et que malgré cela, il a considéré en se basant sur le parcours professionnel et académique de l’appelant que celui-ci était en mesure d’obtenir un revenu mensuel compris entre 5'000 et 7'000 francs. Cette interprétation prête d'autant moins le flanc à la critique que le fait que l’appelant ait présenté un burn-out en travaillant auprès d’un employeur particulier ne signifie pas encore qu’il ne pouvait pas travailler auprès d’un autre employeur dans le même secteur d’activité ou que son activité habituelle n’était pas adaptée à son état de santé. Les faits invoqués par l’appelant ne sont dès lors pas nouveaux et sa procédure en modification du jugement de divorce vise prima facie à réexaminer le jugement de divorce, mais non à l’adapter à des circonstances nouvelles, ce qui est contraire à l’art. 286 CC. L’appelant soutient également qu’il est incapable sur le plan médical d’exercer une activité dans le domaine de la finance ou de travailler dans une position statique devant un ordinateur durant plusieurs heures. Aucune des pièces fournies par l’appelant ne permet toutefois d’établir que le corps médical s’oppose ou lui déconseille de travailler dans la finance ou devant un ordinateur pendant plusieurs heures. En effet, le rapport du 28 juin 2007 ne mentionne pas d’AVC, mais des migraines acéphalalgiques. Le status neurologique n’était pas pathologique et le CT scan était dans la norme. Seul un suivi "céphalées" en ambulatoire a été proposé ensuite de cet épisode de migraines. En outre, l’appelant décrit le 28 juin 2007 une période de surmenage depuis cinq à six mois alors qu’en réalité, il n'était en incapacité de travail que depuis deux mois et demi. Les autres certificats médicaux, qui ne font qu’attester des incapacités de travail, n’apportent pas d’éléments de nature à prouver les allégations de l’appelant et le fait que celui-ci ait présenté une incapacité de travail de deux mois et demi ou un épisode de migraines dans un emploi particulier ne signifie pas encore qu’il présente une atteinte à la santé durable et importante l’empêchant d’exercer toute activité dans les secteurs de la finance ou de la gestion. Il est par ailleurs retourné à ce type d’activité de mars à juillet 2013. En ce qui concerne les limitations fonctionnelles décrites par l’appelant, outre le fait qu’elles ne sont pas établies, on imagine mal qu’il puisse parvenir à de bons résultats dans ses études sans consacrer quotidiennement plusieurs heures à la lecture, la pratique et l’établissement de rapports ou travaux écrits à l’aide des outils informatiques. Partant, il convient de maintenir le salaire hypothétique retenu tant au moment du divorce que par l’ordonnance attaquée. L’âge et les différentes, mais nombreuses, formations de l’appelant, doivent lui permettre de trouver une situation professionnelle stable afin qu’il assume ses responsabilités de père. A l’instar du premier juge, on constate que l’appelant ayant acquis depuis le jugement du divorce, en plus de ses autres formations, un master HEC en contrôle de gestion, il est à même de trouver, dans ce domaine ou dans celui de la finance, un emploi apte à lui procurer un revenu à tout le moins identique à celui retenu dans le jugement de divorce. En effet, rien ne l’obligeait à reprendre des études, alors qu’il avait des obligations familiales à respecter. Par conséquent, l’appelant n’a pas démontré que sa situation personnelle et professionnelle s'est modifiée d’une façon telle que cela justifierait une diminution de la contribution d’entretien due pour ses enfants au stade des mesures provisionnelles. L’appelant continue à soutenir la nécessité d’obtenir des diplômes supplémentaires, alors même que le jugement de divorce lui imposait un revenu hypothétique, en tenant compte d’un éventuel emploi qu’il pouvait, à ce stade, trouver facilement. Enfin, on ne peut que confirmer le constat du premier juge selon lequel la contribution d'entretien fixée par le jugement de divorce n’entame pas le minimum vital de l’appelant. En effet, avec un revenu hypothétique de 5'000 fr. à 7'000 fr., le minimum vital de l’appelant, même avec un loyer important au vu de sa situation personnelle, est largement couvert. Ainsi, la contribution d’entretien due ne doit pas non plus être modifiée sur cette base.</w:t>
      </w:r>
    </w:p>
    <w:p>
      <w:r>
        <w:rPr>
          <w:b/>
        </w:rPr>
        <w:t>E. 4</w:t>
      </w:r>
    </w:p>
    <w:p>
      <w:r>
        <w:t>Au vu de ce qui précède, l’appel doit être rejeté et l’ordonnance confirmée. Les frais judiciaires de deuxième instance, arrêtés à 600 fr. (art. 65 al. 3 TFJC), sont laissés à la charge de l’Etat (art. 122 al. 1 let. b CPC), dès lors que l'appelant qui succombe bénéficie de l’assistance judiciaire. En sa qualité de conseil d’office de l'appelant, Me Regina Andrade Ortuno a droit à une rémunération équitable pour ses opérations et débours dans la procédure d’appel (art. 122 al. 1 let. a CPC). Celle-ci a produit une liste des opérations indiquant 9.59 heures consacrées à la procédure de deuxième instance. Vu le litige, d’une relative simplicité, et les opérations effectuées, ce décompte paraît légèrement excessif et doit être réduit. Une indemnité correspondant à 7.59 heures, dont 1.34 heures de travail d'avocat, au tarif horaire de 180 fr. hors TVA, et 6.25 heures de travail d’avocat-stagiaire, au tarif horaire de 110 fr. (art. 2 al. 1 let. a et b RAJ [Règlement sur l'assistance judiciaire en matière civile, RSV 211.02.3]), apparaît suffisante et adéquate au regard des opérations effectuées. L’indemnité d’office due à Me Andrade Ortuno doit ainsi être arrêtée à 987 fr. 83 pour ses honoraires, plus 79 fr. 02 de TVA au taux de 8% et un montant de 89 fr. 65, TVA comprise, pour ses débours, soit une indemnité totale de 1'156 fr. 50. Me Nadia Calabria, conseil d’office de l'intimée, a également droit à une rémunération équitable pour ses opérations et débours dans la procédure d’appel. Celle-ci a produit une liste des opérations indiquant 3.36 heures consacrées à la procédure de deuxième instance. L’indemnité d’office due à Me Calabria doit ainsi être arrêtée à 648 fr. pour ses honoraires, plus 51 fr. 85 de TVA et 27 fr. 95, TVA comprise, pour ses débours, soit une indemnité totale de 727 fr. 80. Les bénéficiaires de l’assistance judiciaire sont, dans la mesure de l’art. 123 CPC, tenus au remboursement des frais judiciaires et de l’indemnité du conseil d’office mis à la charge de l’Etat. L’appelant ayant succombé, des dépens de deuxième instance, arrêtés à 800 fr., sont mis à sa charge en faveur de l’intimée (art. 122 al. 1 let. d CPC). Par ces motifs, la juge déléguée de la Cour d’appel civile du Tribunal cantonal, statuant à huis clos, prononce : I. L’appel est rejeté. II. L’ordonnance est confirmée. III. Les frais judiciaires de deuxième instance, arrêtés à 600 fr. (six cents francs), sont laissés à la charge de l’Etat. IV. L’indemnité d’office de Me Andrade Ortuno, conseil d’office de l’appelant, est arrêtée à 1'156 fr. 50 (mille cent cinquante-six francs et cinquante centimes), celle de Me Calabria, conseil d’office de l’intimée, à 727 fr. 80 (sept cent vingt-sept francs et huitante centimes). V. Les bénéficiaires de l’assistance judiciaires sont, dans la mesure de l’art. 123 CPC, tenus au remboursement des frais judiciaires et de l’indemnité du conseil d’office mis à la charge de l’Etat. VI. L’appelant A.K.________ doit verser à l’intimée B.K.________ la somme de 800 fr. (huit cents francs) à titre de dépens de deuxième instance. VII. L’arrêt motivé est exécutoire. La juge déléguée : La greffière : Du</w:t>
      </w:r>
    </w:p>
    <w:p>
      <w:r>
        <w:rPr>
          <w:b/>
        </w:rPr>
        <w:t>E. 7</w:t>
      </w:r>
    </w:p>
    <w:p>
      <w:r>
        <w:t>février 2014 Le dispositif de l'arrêt qui précède est communiqué par écrit aux intéressés. La greffière : Du L'arrêt qui précède, dont la rédaction a été approuvée à huis clos, est notifié en expédition complète, par l'envoi de photocopies à : ‑ Me Regina Andrade Ortuno (pour A.K.________), ‑ Me Nadia Calabria (pour B.K.________).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