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165 vom 6. März 2014</w:t>
      </w:r>
    </w:p>
    <w:p>
      <w:r>
        <w:t>VD Tribunal cantonal, 2014-03-06, FR</w:t>
      </w:r>
    </w:p>
    <w:p>
      <w:r>
        <w:rPr>
          <w:b/>
        </w:rPr>
        <w:t xml:space="preserve">Quelle: </w:t>
      </w:r>
      <w:r>
        <w:t>https://mcp.opencaselaw.ch/entscheid/vd_findinfo_HC___2014___165</w:t>
      </w:r>
    </w:p>
    <w:p>
      <w:r>
        <w:t>FR: VD_FINDINFO HC / 2014 / 165 du 6 mars 2014</w:t>
      </w:r>
    </w:p>
    <w:p>
      <w:r>
        <w:t>IT: VD_FINDINFO HC / 2014 / 165 del 6 marzo 2014</w:t>
      </w:r>
    </w:p>
    <w:p>
      <w:pPr>
        <w:pStyle w:val="Heading2"/>
      </w:pPr>
      <w:r>
        <w:t>Regeste</w:t>
      </w:r>
    </w:p>
    <w:p>
      <w:r>
        <w:t>EXPULSION DE LOCATAIRE, DÉCISION D'IRRECEVABILITÉ | 314 al. 1 CPC (CH)</w:t>
      </w:r>
    </w:p>
    <w:p>
      <w:pPr>
        <w:pStyle w:val="Heading2"/>
      </w:pPr>
      <w:r>
        <w:t>Volltext</w:t>
      </w:r>
    </w:p>
    <w:p>
      <w:r>
        <w:t>Vaud Tribunal cantonal Cour d'appel civile 06.03.2014 HC / 2014 / 165</w:t>
      </w:r>
    </w:p>
    <w:p>
      <w:r>
        <w:t>EXPULSION DE LOCATAIRE, DÉCISION D'IRRECEVABILITÉ | 314 al. 1 CPC (CH)</w:t>
      </w:r>
    </w:p>
    <w:p>
      <w:r>
        <w:t>TRIBUNAL CANTONAL JL13.053891-140373 99 cour d’appel CIVILE _____________________________ Arrêt du 6 mars 2014 __________________ Présidence de               M. Colombini , président Juges :              M. Abrecht et Mme Courbat Greffier :              Mme Nantermod Bernard ***** Art. 314 al. 1 CPC Statuant à huis clos sur l’appel interjeté par O.________ , à Yverdon-les-Bains, locataire, contre l’ordonnance rendue le 12 février 2014 par le Juge de paix des districts du Jura-Nord vaudois et du Gros-de-Vaud dans la cause divisant l’appelant d’avec C.________ , à Chapelle-sur-Moudon, bailleur, la Cour d’appel civile du Tribunal cantonal voit : En fait et en droit : 1. Par ordonnance rendue le 12 février 2014, adressée le même jour pour notification aux parties, le Juge de paix des districts du Jura-Nord vaudois et du Gros-de-Vaud a ordonné à la partie locataire de quitter et rendre libres pour le lundi 17 mars 2014 à midi les locaux occupés dans l’immeuble sis rue des [...] (maison d’habitation). En droit, le premier juge a considéré que la procédure en protection de cas clairs selon l’art. 257 CPC (Code de procédure civile suisse du 19 décembre 2008 ; RS 272) était applicable. D’une part, l’entier de l’arriéré de loyer n’avait pas été acquitté dans le délai de trente jours imparti par l’avis comminatoire, ni d’ailleurs ultérieurement ; d’autre part, il ne ressortait pas du dossier que la partie locataire aurait contesté en temps utile la résiliation devant la Commission de conciliation. Dès lors, le congé était valable et l’expulsion devait en conséquence être prononcée. 2. La décision attaquée a été rendue en procédure sommaire (cas clair), selon requête expresse du bailleur admise par le Juge de paix qui a appliqué dans son ordonnance l’art. 257 CPC permettant de faire application de la procédure sommaire des art. 248 ss CPC. Elle a été notifiée le 12 février 2014 à l’appelant, qui a signé l’avis de réception le 14 du même mois. Le délai d’appel était de dix jours, s’agissant d’un appel contre une décision en procédure sommaire (at. 314 al. 1 CPC), et venait à échéance le 24 février 2014. Posté le 27 février 2014, l’appel est manifestement tardif (art. 142 et 143 CPC). 3. Au vu de ce qui précède, l’appel doit être déclaré irrecevable et l’ordonnance attaquée doit être maintenue. Le présent arrêt peut être rendu sans frais judiciaires de deuxième instance (art. 11 TFJC [tarif des frais judiciaires civils du 28 septembre 2010 ; RSV 270.11.5]). Par ces motifs, la Cour d’appel civile du Tribunal cantonal, statuant à huis clos, prononce : I. L’appel est irrecevable. II. L’arrêt, rendu sans frais, est exécutoire. Le président :               Le greffier : Du L'arrêt qui précède, dont la rédaction a été approuvée à huis clos, est notifié à : ‑ M. O.________, ‑ M.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