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157 vom 17. Februar 2014</w:t>
      </w:r>
    </w:p>
    <w:p>
      <w:r>
        <w:t>VD Tribunal cantonal, 2014-02-17, FR</w:t>
      </w:r>
    </w:p>
    <w:p>
      <w:r>
        <w:rPr>
          <w:b/>
        </w:rPr>
        <w:t xml:space="preserve">Quelle: </w:t>
      </w:r>
      <w:r>
        <w:t>https://mcp.opencaselaw.ch/entscheid/vd_findinfo_HC___2014___157</w:t>
      </w:r>
    </w:p>
    <w:p>
      <w:r>
        <w:t>FR: VD_FINDINFO HC / 2014 / 157 du 17 février 2014</w:t>
      </w:r>
    </w:p>
    <w:p>
      <w:r>
        <w:t>IT: VD_FINDINFO HC / 2014 / 157 del 17 febbraio 2014</w:t>
      </w:r>
    </w:p>
    <w:p>
      <w:pPr>
        <w:pStyle w:val="Heading2"/>
      </w:pPr>
      <w:r>
        <w:t>Regeste</w:t>
      </w:r>
    </w:p>
    <w:p>
      <w:r>
        <w:t>DÉCISION SUR FRAIS | 110 CPC, 91 CPC</w:t>
      </w:r>
    </w:p>
    <w:p>
      <w:pPr>
        <w:pStyle w:val="Heading2"/>
      </w:pPr>
      <w:r>
        <w:t>Erwägungen</w:t>
      </w:r>
    </w:p>
    <w:p>
      <w:r>
        <w:rPr>
          <w:b/>
        </w:rPr>
        <w:t>E. 1.1</w:t>
      </w:r>
    </w:p>
    <w:p>
      <w:r>
        <w:t>La décision attaquée a été rendue le 27 septembre 2013, de sorte que les voies de droit sont régies par le CPC (Code de procédure civile suisse du 19 décembre 2008 ; RS 272), entré en vigueur le 1 er janvier 2011 (art. 405 al. 1 CPC). En effet, conformément à la jurisprudence du Tribunal fédéral, toutes les décision de première instance communiquées dès 2011 – et non seulement les décisions finales – sont soumises aux voies de recours du nouveau droit, même lorsqu’elles ont été rendues dans le cadre d’une procédure qui se poursuit selon l’ancien droit en vertu de l’art. 401 al. 1 CPC (ATF 137 III 424 c. 2.3). Cela étant, la procédure ayant été ouverte le 17 juillet 2009, le droit de procédure dont la bonne application est contrôlée par l’autorité d’appel est l’ancien droit de procédure cantonal (Tappy, CPC commenté, n. 23 ad art. 405 CPC).</w:t>
      </w:r>
    </w:p>
    <w:p>
      <w:r>
        <w:rPr>
          <w:b/>
        </w:rPr>
        <w:t>E. 1.2</w:t>
      </w:r>
    </w:p>
    <w:p>
      <w:r>
        <w:t>Selon l'art. 319 let. b ch. 1 CPC (Code de procédure civile du 19 décembre 2008, RS 272), le recours est recevable contre les décisions de première instance dans les cas prévus par la loi. L'art. 110 CPC dispose que la décision sur les frais, lesquels comprennent notamment les dépens (art. 95 al. 1 CPC), ne peut être attaquée que séparément par la voie du recours. En l’espèce, formés en temps utile, auprès de l'autorité compétente (art. 73 al. 1 LOJV [loi vaudoise d'organisation judiciaire du 12 décembre 1979; RSV 173.01]), par des parties qui y ont un intérêt, et suffisamment motivés (art. 321 CPC), les présents appels, convertis en recours de l’art. 110 al. 1 CPC, sont recevables.</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al. 1 aTAv, ces honoraires sont fixés entre les minima et maxima prévus à l'art. 2 aTAv, en considération des difficultés de la cause et de la complexité des questions de fait et de droit débattues, ainsi que de la valeur litigieuse calculée selon l’ancien TFJC (tarif des frais judiciaires en matière civile du 4 décembre 1984). Selon l’art. 4 aTAv, le maximum des honoraires dus à titre de dépens est augmenté en raison de la valeur litigieuse dans la proportion ci-après : de 100'000 fr. à 400'000 fr., le maximum est doublé ; de 400'000 fr. à 800'000 fr., il est triplé ; à partir de 800'000 fr., il est quadruplé. La somme des honoraires dus à titre de dépens ne peut en aucun cas excéder 20% de la valeur litigieuse lorsque celle-ci est supérieure à 30'000 fr. (art. 5 aTAv). Selon l’arrêt du Tribunal fédéral renvoyant la cause au Juge instructeur (TF 5A_41/2010 du 21 octobre 2010, c. 3.3), ce pourcentage maximum ne saurait toutefois être admis pour un litige qui porte, non pas sur la succession, mais sur une question préjudicielle (cf. TF 5A_23/2009 du 20 mai 2009 c. 6.5 et 7).</w:t>
      </w:r>
    </w:p>
    <w:p>
      <w:r>
        <w:rPr>
          <w:b/>
        </w:rPr>
        <w:t>E. 3.1.1</w:t>
      </w:r>
    </w:p>
    <w:p>
      <w:r>
        <w:t>La recourante prétend tout d’abord que le montant qui lui a été alloué à titre de participation aux honoraires de son conseil est insuffisant (de l’ordre de 1,8% de la valeur litigieuse, qu’elle ne remet pas en cause), compte tenu de la difficulté de la cause, de la valeur litigieuse et du temps consacré à l’affaire.</w:t>
      </w:r>
    </w:p>
    <w:p>
      <w:r>
        <w:rPr>
          <w:b/>
        </w:rPr>
        <w:t>E. 3.1.2</w:t>
      </w:r>
    </w:p>
    <w:p>
      <w:r>
        <w:t>Selon l'article 91 CPC-VD, les dépens comprennent les frais et les émoluments de l'office payés par la partie (let. a), les frais de vacation des parties (let. b), ainsi que les honoraires et les déboursés de mandataire et d'avocat (let. c).  Aux termes de l’art. 92 CPC-VD, les dépens sont alloués à la partie qui a obtenu l’adjudication de ses conclusions (al. 1). Lorsque 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 p. 175). Lorsque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1987 III 127; Poudret/Haldy/Tappy, op. cit., n. 7.10 ad art. 92 CPC, p. 182). S’agissant de la participation aux honoraires du mandataire, l’art. 93    al. 2 CPC-VD renvoie au tarif du 17 juin 1986 des honoraires d’avocat dus à titre de dépens (ci-après aTAv. Selon l’art. 1 aTAv, lorsqu’une partie est représentée par un avocat, toutes les opérations nécessaires à l’ouverture et à l’avancement du procès ou provoquées par celui-ci donnent droit à des honoraires à titre de dépens. D'après l'art. 2 al. 1 aTAv, les maxima suivants sont prévus pour les opérations qui ressortent de la liste produite par la recourante et du dossier : 3'000 fr. pour une demande   (ch. 19), 2'000 fr. pour une réplique (ch. 20), 800 fr. pour des déterminations (ch. 21), 2'000 fr. pour une audience préliminaire (ch. 23) et 2'500 fr. pour un mémoire de droit (ch. 33). Selon l’art.</w:t>
      </w:r>
    </w:p>
    <w:p>
      <w:r>
        <w:rPr>
          <w:b/>
        </w:rPr>
        <w:t>E. 3.1.3</w:t>
      </w:r>
    </w:p>
    <w:p>
      <w:r>
        <w:t>En l’espèce, la recourante a déposé une demande, une réplique, des déterminations ainsi qu’un mémoire de droit et a participé à une audience préliminaire. Les montants maximum susmentionnés relatifs à ces opérations totalisent 10'300 fr., somme qui est quadruplée en raison de la valeur litigieuse. La cause était complexe eu égard à divers éléments d’extranéité. Le temps consacré a été important, rien ne permettant de mettre en doute la réalité des cent cinquante heures de travail alléguées par le conseil sur la base de sa liste d’opérations produite le 3 septembre 2012.  Même si, comme le fait valoir l’intimé, ses parties adverses ont développé des moyens communs, elles n’en avaient pas moins des conseils distincts, qui ont dû sauvegarder des intérêts particuliers. Compte tenu de ces éléments, et avec la recourante, il y a lieu d’admettre que, si le Tribunal fédéral a exclu l’application d’un pourcentage de 20% de la valeur litigieuse s’agissant d’une question préjudicielle, il ne se justifiait pas de réduire ce pourcentage à quelque 1,8% pour ne lui allouer qu’un montant de 15'000 francs. Il convient plutôt de doubler ce montant pour obtenir ce qui ne doit certes être selon l’ancien droit qu’une participation aux honoraires de la recourante, mais qui correspond à la moyenne supérieure prévue par l’aTAv, eu égard aux particularités de la cause, notamment le fait que le conseil de la recourante a été aussi durant une certaine période celui de A.G.________, qui a également droit à des dépens (cf. infra ). La décision querellée sera dès lors réformée en ce sens qu’un montant de 30'000 fr. est alloué à la recourante au titre de cette participation.</w:t>
      </w:r>
    </w:p>
    <w:p>
      <w:r>
        <w:rPr>
          <w:b/>
        </w:rPr>
        <w:t>E. 3.2.1</w:t>
      </w:r>
    </w:p>
    <w:p>
      <w:r>
        <w:t>La recourante se plaint encore de ce que seuls 750 fr. lui ont été alloués à titre de débours, montant correspondant, conformément à la pratique de la Cour civile, à 5% de la participation aux honoraires fixée ici à 15'000 fr., et réclame un montant de 9'940 fr. qu’elle a déterminé sur la base de sa liste d’opérations.</w:t>
      </w:r>
    </w:p>
    <w:p>
      <w:r>
        <w:rPr>
          <w:b/>
        </w:rPr>
        <w:t>E. 3.2.2</w:t>
      </w:r>
    </w:p>
    <w:p>
      <w:r>
        <w:t>Selon l’art. 7 let. b aTAv, les dépens comprennent les déboursés d’avocat « arrêtés globalement ». C’est sur la base de cette disposition que la pratique précitée a été établie. Rien ne justifie de déroger à celle-ci au profit d’un décompte laborieux des débours effectifs, ce d’autant moins que la liste d’opérations produite par la recourante fait état de débours manifestement excessifs, ainsi des photocopies au coût de cinquante centimes l’unité, alors qu’on doit considérer que les frais de photocopies fond partie des frais généraux de l’avocat (CREC 248/II du 8 décembre 2009, c. 4c). Il s’ensuit toutefois qu’au regard du montant alloué ci-dessus à titre d’honoraires, celui des débours doit être fixé à 1'500 fr. (30'000 fr. x 5%).</w:t>
      </w:r>
    </w:p>
    <w:p>
      <w:r>
        <w:rPr>
          <w:b/>
        </w:rPr>
        <w:t>E. 3.3</w:t>
      </w:r>
    </w:p>
    <w:p>
      <w:r>
        <w:t>La recourante conclut à l’allocation d’un intérêt moratoire de 5% à compter du 1 er mai 2009. Elle expose qu’elle « maintient l’intérêt moratoire ajouté à ses prétentions, que la Cour civile a manifestement rejeté, à nouveau sans motivation ». Un intérêt de retard supposant une créance exigible ainsi qu’une interpellation et la créance en dépens n’ayant précisément pas encore fait l’objet d’une décision définitive, cette conclusion ne peut qu’être rejetée.</w:t>
      </w:r>
    </w:p>
    <w:p>
      <w:r>
        <w:rPr>
          <w:b/>
        </w:rPr>
        <w:t>E. 3.4.1</w:t>
      </w:r>
    </w:p>
    <w:p>
      <w:r>
        <w:t>La recourante prétend encore qu’elle a droit au remboursement de son coupon de justice, par 34'068 fr., calculé sur la base d’une valeur litigieuse plus élevée que celle qui a été déterminée à la suite de l’arrêt du Tribunal fédéral et qui a conduit le premier juge à ne lui allouer à titre de remboursement de frais que le montant de 10'318 francs.</w:t>
      </w:r>
    </w:p>
    <w:p>
      <w:r>
        <w:rPr>
          <w:b/>
        </w:rPr>
        <w:t>E. 3.4.2</w:t>
      </w:r>
    </w:p>
    <w:p>
      <w:r>
        <w:t>Aux termes de son jugement préjudiciel définitif du 16 janvier 2007, qui constatait que le testament et le codicille avaient tous deux été révoqués par le troisième mariage du défunt, la Cour civile avait prévu que les frais et dépens de son jugement suivraient le sort de la cause au fond. Cette cause a été transigée le 30 avril 2009, le Juge instructeur de la Cour civile étant chargé de statuer « sur le principe de l’allocation et la quotité des dépens qui doivent être alloués en vertu du jugement préjudiciel du 16 janvier 2007 ». Dans le système applicable selon le CPC-VD, chaque partie avance les émoluments et frais pour toute opération (art. 90 al. 1 CPC-VD), sous réserve de remboursement sous forme de dépens (art. 91 let. a CPC-VD et art. 4 aTFJC). Le décompte définitif des émoluments est porté sur un coupon ou liste de frais (art. 19 al. 1 aTFJC), dont un exemplaire est joint au jugement (art. 20 al. 1 a aTFJC), la décision y relative étant sujette à recours (art. 21 aTFJC), lui-même devant être formé avec le recours sur fond ou sur les dépens si un tel recours est interjeté, l’arrêt étant alors rendu par la cour compétente sur le fond ou sur les dépens (art. 22 aTFJC). Selon l’art. 26 al. 1 aTFJC, les cours du Tribunal cantonal saisies d’un recours sur le fond ou sur les dépens peuvent modifier d’office une décision sur les frais.</w:t>
      </w:r>
    </w:p>
    <w:p>
      <w:r>
        <w:rPr>
          <w:b/>
        </w:rPr>
        <w:t>E. 3.4.3</w:t>
      </w:r>
    </w:p>
    <w:p>
      <w:r>
        <w:t>En l’espèce, le premier juge a exposé que les frais de justice devaient être revus conformément à l’indication du Tribunal fédéral, de façon à ce qu’ils correspondent à une valeur litigieuse réduite à 800'000 francs. Il a ainsi déclaré (cf. décision du 27 septembre 2013, p. 10) que ces frais étaient arrêtés à 12'886 fr. 50 pour B.G.________, à 12'180 fr. pour C.G.________, à 10'318 fr. pour D.________ et à 1'500 pour A.G.________. Il n’a cependant pas rendu de décision formelle à ce sujet, de sorte que demeurent aujourd’hui en vigueur les décomptes de frais établis les 19 septembre 2006 et 14 mai 2009, qui n’ont pas été contestés par un recours. En vertu de l’art. 26 al. 1 aTFJC susmentionné, il y a ainsi lieu de modifier d’office ces coupons pour tenir compte de la réduction de la valeur litigieuse. En ce qui concerne la recourante D.________, le montant des frais à sa charge donnant lieu à remboursement s’élève 7'659 fr. ([10'318 fr. : 2] + 2'500 fr. [coupon du jugement sans audience du 16 janvier 2007]), montant compris dans ce qui lui a été alloué. Cela rend sans objet son moyen tiré d’une insuffisance des dépens à titre de remboursement de frais.</w:t>
      </w:r>
    </w:p>
    <w:p>
      <w:r>
        <w:rPr>
          <w:b/>
        </w:rPr>
        <w:t>E. 3.5</w:t>
      </w:r>
    </w:p>
    <w:p>
      <w:r>
        <w:t>La recourante prétend enfin qu’elle a droit à des dépens de première instance, non seulement comme accessoire du jugement préjudiciel du 16 janvier 2007, mais dans le cadre de la procédure de première instance ayant abouti à la décision relative à cet accessoire. Si ce jugement a prévu que les dépens seraient fixés ultérieurement et que les parties sont ensuite convenues de charger le Juge instructeur de la Cour civile de statuer à ce sujet, une instance incidente ne s’est pas pour autant ouverte justifiant de fixer des dépens particuliers. C’est par conséquent à juste titre que le premier juge a statué sans frais ni dépens. Ce moyen ne peut qu’être rejeté.</w:t>
      </w:r>
    </w:p>
    <w:p>
      <w:r>
        <w:rPr>
          <w:b/>
        </w:rPr>
        <w:t>E. 3.6</w:t>
      </w:r>
    </w:p>
    <w:p>
      <w:r>
        <w:t>En définitive, le principe de l’allocation de pleins dépens n’ayant pas été remis en cause, la recourante a droit à 10'373 fr. de frais d’avis de droit, 30'000 fr. à titre de dépens d’avocat, 1'500 fr. à titre de débours et 7’659 fr. à titre de remboursement de frais, à savoir à 49'532 francs. La décision querellée doit être réformée dans ce sens.</w:t>
      </w:r>
    </w:p>
    <w:p>
      <w:r>
        <w:rPr>
          <w:b/>
        </w:rPr>
        <w:t>E. 3.7</w:t>
      </w:r>
    </w:p>
    <w:p>
      <w:r>
        <w:t>La recourante obtient gain de cause sur le principe et pour une quotité de près des deux tiers de ses conclusions relatives au montant des dépens, même si elle est déboutée en ce qui concerne les intérêts moratoires et les dépens de première instance. Elle a droit à des dépens de deuxième instance, dont il convient de fixer le montant, eu égard à la fourchette de 1'000 à 5'000 fr. prévue à l’art. 8 TDC (tarif des dépens en matière civile du 23 novembre 2010 ; RSV 270.11.6 [art. 96 CPC]), à 3'000 fr., réduit d’un dixième à 2'700 francs. Les frais judiciaires doivent être mis à sa charge à raison d’un dixième de 815 francs.</w:t>
      </w:r>
    </w:p>
    <w:p>
      <w:r>
        <w:rPr>
          <w:b/>
        </w:rPr>
        <w:t>E. 4</w:t>
      </w:r>
    </w:p>
    <w:p>
      <w:r>
        <w:t>Recours de A.G.________ .</w:t>
      </w:r>
    </w:p>
    <w:p>
      <w:r>
        <w:rPr>
          <w:b/>
        </w:rPr>
        <w:t>E. 4.1</w:t>
      </w:r>
    </w:p>
    <w:p>
      <w:r>
        <w:t>Sans remettre en cause le montant de la valeur litigieuse arrêté par le Juge instructeur, en ce qui la concerne, à 800'000 fr., et rappelant que celui-ci a considéré à juste titre qu’elle avait droit à de pleins dépens, la recourante nie que, comme retenu par le premier juge, elle n’ait consulté avocat que tardivement et conteste la réduction des dépens qui lui a été imposée, prétendant à un montant équivalent à celui qui a été alloué à D.________, par 15'000 francs. Ce moyen est fondé. On constate en effet que la recourante a été représentée dès le début de la procédure par l’avocat Christophe Piguet, même si elle a ensuite changé de conseil. Que le prénommé ait été également le conseil de D.________, comme le fait valoir l’intimé, n’a pas pour effet de la priver du droit à des dépens, mais justifie seulement d’en tenir compte au moment de la fixation de ceux-ci, comme on l’a vu ci-dessus. Dès lors, la recourante A.G.________ a droit aux montants de 15'000 fr. à titre de dépens d’avocat et de 750 fr. à titre de débours tels qu’ils ont été alloués à D.________ en première instance et tels qu’elle les réclame en deuxième instance, la Chambre des recours civile étant liée par ses conclusions à ce sujet.</w:t>
      </w:r>
    </w:p>
    <w:p>
      <w:r>
        <w:rPr>
          <w:b/>
        </w:rPr>
        <w:t>E. 4.2</w:t>
      </w:r>
    </w:p>
    <w:p>
      <w:r>
        <w:t>La recourante conclut à ce que le calcul des frais de justice soit revu. Ces frais à sa charge doivent être fixés comme pour D.________ à 7'659 fr. (cf. consid. 3.4 ci-dessus), montant qui doit lui être remboursé sous forme de dépens. Cela étant, A.G.________ a droit à 9'510 fr. 50 à titre de frais d’avis de droit, à 15'000 fr. à titre de dépens d’avocat, à 750 fr. à titre de débours et à 7'659 fr. à titre de remboursement de frais, soit à un total de 32'919 fr. 50. La recourante obtient gain de cause sur le principe et la quotité de sa conclusion en augmentation des dépens d’avocat et des débours, même si, compte de tenu de la modification d’office des coupons, il n’y a pas lieu d’entrer en matière sur sa conclusion tendant à ce qu’un remboursement de frais lui soit alloué à hauteur de 10'318 francs. Elle a donc droit à de pleins dépens, dont, eu égard à la fourchette de 600 à 2'500 fr. prévue à l’art. 8 TDC, il convient de fixer le montant à 1'500 francs. Par ces motifs, la Chambre des recours civile du Tribunal cantonal, statuant à huis clos, prononce : I. Le recours de D.________ est partiellement admis. II. Le recours de A.G.________ est partiellement admis. III. La décision est réformée aux chiffres III et IV de son dispositif comme il suit : III. T.________ doit verser à D.________ la somme de 49'532 fr. (quarante neuf mille cinq cent trente-deux mille francs). IV. T.________ doit verser à A.G.________ la somme de 32'919 fr. 50 (trente deux mille neuf cent dix-neuf francs et cinquante centimes). IV. La décision est confirmée pour le surplus. V. Les frais judiciaires de deuxième instance, arrêtés à 1'339 fr. (mille   trois cent trente-neuf francs), sont mis à la charge de l’intimé T.________ par 1'257 fr. 50 (mille deux cent cinquante-sept francs et cinquante centimes) et de la recourante D.________ par 81 fr. 50 (huitante et un francs et cinquante centimes). VI. L’intimé doit verser à la recourante D.________ la somme de 3'433 fr. 50 (trois mille quatre cent trente-trois francs et cinquante centimes et à la recourante A.G.________ la somme de 2'024 fr. (deux mille vingt-quatre francs) à titre de dépens et de restitution de frais de deuxième instance. VII. L’arrêt est exécutoire. Le président : Le greffier : Du L'arrêt qui précède, dont la rédaction a été approuvée à huis clos, est notifié à : - Me Christophe Piguet (pour D.________), - Me Christophe Piguet (pour D.________ et A.G.________), ‑ Me Pierre-Dominique Schupp (pour A.G.________), - Me Pierre-Olivier Wellauer (pour C.G.________), - Me Felix Paschoud (pour B.G.________), - Me Cyrille Piguet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