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154 vom 14. Februar 2014</w:t>
      </w:r>
    </w:p>
    <w:p>
      <w:r>
        <w:t>VD Tribunal cantonal, 2014-02-14, FR</w:t>
      </w:r>
    </w:p>
    <w:p>
      <w:r>
        <w:rPr>
          <w:b/>
        </w:rPr>
        <w:t xml:space="preserve">Quelle: </w:t>
      </w:r>
      <w:r>
        <w:t>https://mcp.opencaselaw.ch/entscheid/vd_findinfo_HC___2014___154</w:t>
      </w:r>
    </w:p>
    <w:p>
      <w:r>
        <w:t>FR: VD_FINDINFO HC / 2014 / 154 du 14 février 2014</w:t>
      </w:r>
    </w:p>
    <w:p>
      <w:r>
        <w:t>IT: VD_FINDINFO HC / 2014 / 154 del 14 febbraio 2014</w:t>
      </w:r>
    </w:p>
    <w:p>
      <w:pPr>
        <w:pStyle w:val="Heading2"/>
      </w:pPr>
      <w:r>
        <w:t>Regeste</w:t>
      </w:r>
    </w:p>
    <w:p>
      <w:r>
        <w:t>OBLIGATION D'ENTRETIEN, ENFANT, REVENU D'UNE ACTIVITÉ LUCRATIVE INDÉPENDANTE, VALEUR LOCATIVE | 173 al. 3 CC, 176 al. 1 ch. 1 CC, 308 al. 1 let. b CPC (CH), 308 al. 2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w:t>
      </w:r>
    </w:p>
    <w:p>
      <w:r>
        <w:rPr>
          <w:b/>
        </w:rPr>
        <w:t>E. 2</w:t>
      </w:r>
    </w:p>
    <w:p>
      <w:r>
        <w:t>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La jurisprudence vaudoise (JT 2011 III 43; RSPC 2011, p. 320, note approbatrice de Tappy) considère qu'en appel les novas sont soumis au régime ordinaire, même dans les causes soumises à la maxime inquisitoire (en ce sens Tappy, JT 2010 III 115; Hohl, Procédure civile, Tome II, 2 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le couple a des enfants mineurs si bien que la maxime d’office et la maxime inquisitoire illimitée sont applicables (art. 296 al. 1 et 3 CPC ; Hohl, op. cit., nn. 2099 et 2161, pp. 383 et 395). Au surplus, les parties n’ont ni invoqué ni produit de moyens de preuve nouveaux en deuxième instance.</w:t>
      </w:r>
    </w:p>
    <w:p>
      <w:r>
        <w:rPr>
          <w:b/>
        </w:rPr>
        <w:t>E. 3</w:t>
      </w:r>
    </w:p>
    <w:p>
      <w:r>
        <w:t>L’appelant reproche au premier juge de ne pas avoir motivé l’application de l’art. 173 al. 3 CC (Code civil suisse du 10 décembre 1907 ; RS 210), prévoyant que les contributions pécuniaires dues pour l’entretien de la famille peuvent être réclamées pour l’avenir et pour l’année qui précède l’introduction de la requête. Il invoque à cet égard une violation de l’art. 29 Cst. (Constitution fédérale de la Confédération suisse du 18 avril 1999 ; RS 101).</w:t>
      </w:r>
    </w:p>
    <w:p>
      <w:r>
        <w:rPr>
          <w:b/>
        </w:rPr>
        <w:t>E. 3.1</w:t>
      </w:r>
    </w:p>
    <w:p>
      <w:r>
        <w:t>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permet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 En l’espèce, le vice peut être réparé devant l’autorité d’appel au vu de son large pouvoir d’examen.</w:t>
      </w:r>
    </w:p>
    <w:p>
      <w:r>
        <w:rPr>
          <w:b/>
        </w:rPr>
        <w:t>E. 3.2</w:t>
      </w:r>
    </w:p>
    <w:p>
      <w:r>
        <w:t>L’appelant relève qu’il s’est écoulé dix-neuf mois entre le moment où les parties se sont séparées et celui où l’intimée a déposé sa requête de mesures protectrices de l’union conjugale, les parties étant entre-temps convenues à l’amiable d’une contribution mensuelle d’entretien de 500 fr. par enfant. Il soutient qu’il a pris, au regard du montant convenu entre époux, des décisions irréversibles en ce qui concerne ses dépenses, notamment celle de payer l’intégralité des impôts. Au demeurant, il fait valoir que l’intimée n’a ni allégué ni établi s’être endettée du fait qu’elle avait perçu, jusqu’au mois de mars 2013, le montant de 500 fr. par enfant.</w:t>
      </w:r>
    </w:p>
    <w:p>
      <w:r>
        <w:rPr>
          <w:b/>
        </w:rPr>
        <w:t>E. 3.3</w:t>
      </w:r>
    </w:p>
    <w:p>
      <w:r>
        <w:t>Selon l’art. 173 al. 3 CC, la contribution d'entretien peut être demandée pour l'avenir et pour l'année précédant le dépôt de la requête (cf. ATF 129 III 60 c. 3), l'effet rétroactif visant à ne pas forcer l'ayant droit à se précipiter chez le juge, mais à lui laisser un certain temps pour convenir d'un accord à l'amiable (ATF 115 II 204 c. 4a). Cette faculté est donnée pour toutes les contributions du droit de la famille, qu'elles soient fixées dans le cadre de mesures protectrices de l'union conjugale, de mesures provisoires pendant une procédure de divorce ou de la fixation des contributions à l'entretien des enfants (Chaix, Commentaire romand, n. 10 ad art. 173 CC). Cette réglementation vise donc le cas dans lequel les parties n’ont pas encore procédé devant un juge mais non celui où des mesure protectrices de l’union conjugale ont déjà été ordonnées. Dans cette dernière hypothèse, ce sont les règles relatives à la modification de la mesure qui s’appliquent (De Luze/Page/Stoudmann, Droit de la famille, Lausanne 2013, n. 3.2 ad art. 173 CC).</w:t>
      </w:r>
    </w:p>
    <w:p>
      <w:r>
        <w:rPr>
          <w:b/>
        </w:rPr>
        <w:t>E. 3.4</w:t>
      </w:r>
    </w:p>
    <w:p>
      <w:r>
        <w:t>En l’occurrence, le premier juge a correctement appliqué cette disposition. L’intimée a précisé à l’audience d’appel que trois conventions avaient été élaborées, sans que l’appelant n’accepte d’en signer aucune. Par ailleurs, le droit de visite élargi dont bénéficiait l’appelant d’entente entre les parties a été réduit, augmentant ainsi la prise en charge des enfants par l’intimée qui, durant son travail, les confie notamment à une garderie deux jours par semaine. On ne saurait dès lors faire grief à l’intimée d’avoir privilégié dans un premier temps le recours à un arrangement à l’amiable, avant de requérir des mesures protectrices de l’union conjugale. Au surplus, compte tenu de l’effet rétroactif maximal de douze mois prévu par la loi, la durée des négociations n’est pas excessive en l’espèce. Enfin, on rappellera que l’appelant s’est déjà acquitté d’un certain montant dès la séparation des époux, ce qui réduit d’autant un éventuel montant rétroactif dû à ce titre.</w:t>
      </w:r>
    </w:p>
    <w:p>
      <w:r>
        <w:rPr>
          <w:b/>
        </w:rPr>
        <w:t>E. 4</w:t>
      </w:r>
    </w:p>
    <w:p>
      <w:r>
        <w:t>L’appelant fait valoir qu’en application de la jurisprudence du Tribunal fédéral (TF 5A_687/2011 du 17 avril 2012), le premier juge aurait dû retenir, au vu de la diminution constante du bénéfice entre 2010 et 2012, le dernier bénéfice net réalisé, soit 58'135 fr. 60, et non pas la moyenne des bénéfices nets des années prises en considération. Ainsi, le bénéfice mensuel net moyen serait de 4'844 fr. 65 (58'135 fr. 60 : 12) et non de 6'484 fr. 50 comme retenu par le premier juge. 4.1.1 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Tant que dure le mariage, chacun des conjoints a le droit de participer de la même manière au train de vie antérieur ; il incombe en principe au créancier de la contribution d’entretien de préciser les dépenses nécessaires au maintien de son train de vie et de les rendre vraisemblables (TF 5A_732/2007 du 4 avril 2008 c. 2.2). 4.1.2 Le revenu déterminant pour la fixation de la contribution d'entretien est le revenu effectif ou effectivement réalisable, soit s'agissant des revenus du travail, le revenu net, cotisations sociales déduites.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Plus les fluctuations de revenus sont importantes et les données fournies par l'intéressé sont incertaines, plus la période de comparaison doit être longue (TF 5A_246/2009 précité c. 3.1 et la référence; TF 5A_259/2012 du 14 novembre 2012 c. 4.1, SJ 2013 I 451).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5P.342/2001 du 20 décembre 2001 c. 3a; TF 5D_167/2008 13 janvier 2009 c. 2, in FamPra.ch 2009 464; TF 5A_687/2011 du 17 avril 2012 c. 5.1.1). Il convient de corriger le bénéfice annuel en prenant en considération les amortissements extraordinaires, les réserves injustifiées et les achats privés (TF 5A_687/2011 du 17 avril 2012 c. 5.1.1). En revanche, les amortissements qui s'effectuent sur plusieurs années et sont liés à des investissements nécessaires et usuels ne doivent pas être ajoutés (TF 5P.114/2006 du 12 mars 2007 c. 3.2; Juge délégué CACI 28 janvier 2013/56). Par ailleurs, l’amortissement de la dette hypothécaire n’a en principe pas à être pris en considération pour le calcul du minimum vital dès lors qu’il ne sert pas à l’entretien mais à la constitution du patrimoine (TF 5A_608/2011 du 13 décembre 2011 c. 6.2.3). 4.1.3 En matière de mesures protectrices, le juge doit s'en tenir à la vraisemblance des faits allégués et une expertise comptable est exclue (Chaix, Commentaire romand, n. 7 ad art. 176 CC; Juge délégué CACI 25 août 2011/211).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w:t>
      </w:r>
    </w:p>
    <w:p>
      <w:r>
        <w:rPr>
          <w:b/>
        </w:rPr>
        <w:t>E. 4.2</w:t>
      </w:r>
    </w:p>
    <w:p>
      <w:r>
        <w:t>Le premier juge a arrêté le revenu déterminant de l’appelant sur la base de sa part au bénéfice réalisé par l’association, part dont il a déduit les cotisations sociales ainsi que la valeur locative du logement (7'022 fr.) de l’appelant. Il a ensuite ajouté au résultat ainsi obtenu les montants de 960 fr. et 2'640 fr. (3'600 fr.) portés au débit des comptes privés S9221 et S9222, respectivement à titre de prélèvements en nature et de part privée aux frais généraux. Le premier juge a ainsi retenu que le bénéfice de l’entreprise agricole de l’appelant s’élevait à 98'348 fr. 60 pour l’année 2010, à 76'956 fr. 80 pour l’année 2011 et à 58'135 fr. 60 pour l’année 2012. En procédant à la moyenne des résultats des exercices 2010, 2011 et 2012, il a considéré que le revenu annuel déterminant de l’appelant se montait à 77'813 fr. 65 par année, soit 6'484 fr. 50 par mois.</w:t>
      </w:r>
    </w:p>
    <w:p>
      <w:r>
        <w:rPr>
          <w:b/>
        </w:rPr>
        <w:t>E. 4.3</w:t>
      </w:r>
    </w:p>
    <w:p>
      <w:r>
        <w:t>L’appelant a tiré de son exploitation agricole un bénéfice net de 110'634 fr. en 2008, de 92'117 fr. 15 en 2009, de 110'183 fr. 80 en 2010, de 89'088 fr. 40 en 2011 et de 72'444 fr. 60 en 2012. On constate ainsi une fluctuation plutôt qu’une diminution constante du bénéfice net, avec trois années semblables (2008, 2009, et 2011) et deux années s’écartant de la moyenne (2010 et 2012), respectivement vers le haut et vers le bas. Le témoin a précisé à l’audience d’appel qu’on ne pouvait dans l’agriculture se fier aux résultats d’une année et qu’il fallait prendre en considération quatre ou cinq années. Il a ajouté que le revenu agricole avait baissé de manière générale de 30% entre 2008 et 2012, en raison de la baisse régulière des prix, soit des produits agricoles, et que la tendance était la même pour l’année 2013. L’appelant a indiqué de son côté que les mauvais résultats de l’année 2012 pouvaient s’expliquer par les conditions météorologiques défavorables et la maladie de certains animaux. Au vu de ce qui précède, il n’y a pas lieu de s’écarter de la méthode retenue par le premier juge, à savoir la prise en considération d’un revenu annuel moyen, fondé sur les résultats d’exploitation de plusieurs années. Dès lors que les données comptables n’ont pas été produites pour l’année 2008 et que celles de 2009 sont incomplètes, il y lieu de se fonder, à l’instar du premier juge, sur les années 2010 à 2012. Au surplus, il n’y a pas lieu de corriger le bénéfice annuel de l’appelant au regard des amortissements effectués par celui-ci, dès lors que ces amortissements, notamment ceux liés aux prêts octroyés par le Fonds d’investissement rural (FIR), ne constituent pas des amortissements extraordinaires.</w:t>
      </w:r>
    </w:p>
    <w:p>
      <w:r>
        <w:rPr>
          <w:b/>
        </w:rPr>
        <w:t>E. 5</w:t>
      </w:r>
    </w:p>
    <w:p>
      <w:r>
        <w:t>L’appelant reproche au premier juge de n’avoir pas pris en considération ses impôts et soutient que ceux-ci auraient dû être déduits de son revenu déterminant en raison de son statut d’agriculteur indépendant, dès lors que le non-paiement des impôts de façon à pouvoir régler ses dettes alimentaires serait de nature à entraîner la mise en faillite de son exploitation agricole.</w:t>
      </w:r>
    </w:p>
    <w:p>
      <w:r>
        <w:rPr>
          <w:b/>
        </w:rPr>
        <w:t>E. 5.1</w:t>
      </w:r>
    </w:p>
    <w:p>
      <w:r>
        <w:t>Si les moyens des parties sont limités par rapport aux besoins vitaux, il n'y a pas lieu de prendre en considération les impôts courants, qui ne font pas partie des besoins vitaux (ATF 127 III 289 c. 2a/bb, 126 III 353 c. 1a/aa ; Bastons Bulletti, L’entretien après divorce, SJ 2007 II 88, n. 66 et les références citées). Ce principe s'applique non seulement pour les contributions d'entretien dues dans le cadre de mesures protectrices de l'union conjugale (TF 5A_302/2011 du 30 septembre 2011 c. 6.3.1; TF 5A_511/2010 du 4 février 2011 c. 2.2.3), mais aussi pour les pensions dues pour l'entretien des enfants et du conjoint après divorce (TF 5A_332/2013 du 18 septembre 2013 c. 4.1 et réf.). Ceci ne saurait toutefois valoir lorsque le débirentier est imposé à la source, dès lors que le montant de cet impôt est déduit de son salaire sans qu'il puisse s'y opposer (TF 5A_352/2010 du 29 octobre 2010 c. 5.3, RMA 2011 p. 126; TF 5A_592/2011 du 31 janvier 2012 c. 4.2.). En revanche, lorsque la contribution est calculée conformément à la méthode dite du minimum vital avec répartition de l'excédent et que les conditions financières des parties sont favorables, il faut prendre en considération la charge fiscale courante – à l'exclusion des arriérés d'impôts - (TF 5A_302/2011 du 30 septembre 2011 c. 6.3.1, FamPra.ch 2012 p. 160; TF 5A_732/2007 du 4 avril 2008 c. 2.1). Ce principe s'applique aussi aux mesures protectrices de l'union conjugale et aux mesures provisionnelles (TF 5A_511/2010 du 4 février 2011 c. 2.2.3; TF 5A_508/2011 du 21 novembre 2011 c. 4.2.5).</w:t>
      </w:r>
    </w:p>
    <w:p>
      <w:r>
        <w:rPr>
          <w:b/>
        </w:rPr>
        <w:t>E. 5.2</w:t>
      </w:r>
    </w:p>
    <w:p>
      <w:r>
        <w:t>Le témoin W.________ a expliqué à l’audience d’appel que si l’appelant venait à prélever davantage sur les comptes de l’association, qui paie les impôts pour le compte de l’appelant, cela viendrait en déduction de sa part d’associé. Ces prélèvements provoqueraient une perte qui ne serait toutefois déterminable qu’après bouclement des comptes ; à moyen terme, elle serait de nature à vider l’association de sa substance. Le risque de perte évoqué n’est toutefois qu’hypothétique et n’est à ce jour pas concrétisé dans les comptes d’exploitation de l’association, malgré le versement par l’appelant de contributions alimentaires qui, selon les déclarations d’impôts 2011 et 2012, se sont élevés respectivement à 4'000 fr. et à 16'800 francs. Par ailleurs, le report de perte se fait sur le capital propre de chaque associé selon les déclarations du témoin. Or le capital propre de l’appelant est en constante augmentation depuis 2010. Au vu de la situation matérielle du couple, la prise en compte des impôts de l’appelant ne se justifie pas. Au surplus, la poursuite par voie de faillite est exclue pour le recouvrement d’impôts (art. 43 ch. 1 LP [loi fédérale sur la poursuite pour dettes et la faillite du 11 avril 1889, RS 281.1]). Le grief de l’appelant doit ainsi être rejeté sur ce point.</w:t>
      </w:r>
    </w:p>
    <w:p>
      <w:r>
        <w:rPr>
          <w:b/>
        </w:rPr>
        <w:t>E. 6</w:t>
      </w:r>
    </w:p>
    <w:p>
      <w:r>
        <w:t>L’appelant fait grief au premier juge de n’avoir pas déduit du revenu annuel déterminant le montant de 3'500 fr. à titre de frais de véhicule. Selon l’appelant, il est notoire qu’un exploitant agricole ne se déplace pas uniquement dans son domaine en tracteur et qu’il doit pouvoir se rendre chez ses clients et fournisseurs notamment, ce d’autant qu’un domaine agricole ne se situe pas en ville et que l’appelant est ainsi tenu de se déplacer à l’aide d’un moyen de transport individuel.</w:t>
      </w:r>
    </w:p>
    <w:p>
      <w:r>
        <w:rPr>
          <w:b/>
        </w:rPr>
        <w:t>E. 6.1</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Ces frais grèvent en revanche le disponible d’un époux qui utilise le véhicule pour ses loisirs, y compris pour un exercice plus commode du droit de visite des enfants (TF 5A_65/2013 du 4 septembre 2013 c. 3.1.2). En revanche, lorsque la situation des parties est suffisamment favorable pour couvrir les charges supplémentaires liées à l'existence de deux ménages, un poste relatif aux frais de véhicule peut être ajouté dans les charges des parties (TF 5A_100/2012 du 30 août 2012 c. 5.1)</w:t>
      </w:r>
    </w:p>
    <w:p>
      <w:r>
        <w:rPr>
          <w:b/>
        </w:rPr>
        <w:t>E. 6.2</w:t>
      </w:r>
    </w:p>
    <w:p>
      <w:r>
        <w:t>Le témoin W.________ a expliqué à l’audience d’appel que chaque associé avait son propre véhicule qu’il mettait à disposition de l’association, un montant de 3'500 fr., représentant un forfait de 5'000 km, étant pris en considération pour chaque associé. Ce montant est comptabilisé dans les charges d’exploitation de l’association au débit du compte «Part privée des charges de voiture » (compte S6490) et porté au crédit du compte S9220 « Dépenses privées associé A.Z.________». Chaque associé assume ses frais de véhicule (taxe voiture, assurance RC, etc.) à titre de dépense privée ; ils sont comptabilisés au débit du compte privé S9220 en ce qui concerne l’appelant, au même titre que son prélèvement mensuel de 2'500 francs. Il apparaît ainsi que le montant de 3'500 fr. porté au débit du compte « Part privée des charges de voiture » constitue en réalité une indemnité créditée à l’appelant pour l’utilisation professionnelle de son véhicule privé. Comme toute charge d’exploitation, elle est répercutée sur le chiffre d’affaires de l’association et, partant, sur la part de bénéfice des associés. Le montant de 3'500 fr. est ainsi déjà pris en considération et il ne se justifie pas de le déduire une seconde fois du revenu déterminant de l’appelant. Au surplus, il n’est ni allégué ni établi que l’appelant encourrait des frais de transport pour se rendre sur son lieu de travail, de sorte que ce grief doit être rejeté.</w:t>
      </w:r>
    </w:p>
    <w:p>
      <w:r>
        <w:rPr>
          <w:b/>
        </w:rPr>
        <w:t>E. 7.1</w:t>
      </w:r>
    </w:p>
    <w:p>
      <w:r>
        <w:t>En conclusion, il y a donc lieu de prendre en considération les parts de bénéfice de l’association revenant à l’appelant pour les années 2010 à 2012, et de déduire les cotisations AVS/AI/APG correspondantes, que l’appelant assume à titre de dépense privée (acomptes portés au débit du compte S9231). Le bénéfice net de l’appelant s’est élevé à 110'183 fr. 80 en 2010 (compte S2994). En tenant compte des cotisations sociales correspondantes, à savoir un montant de 8'413 fr. 20 (compte S9231), on obtient un bénéfice net de 101'770 fr. 60 pour l’année 2010. En 2011, le bénéfice net de l’appelant s’est élevé à 89'088 fr. 40 (compte S2994). Après déduction des cotisations sociales à raison de 8'709 fr. 60 (compte S9231), on obtient un bénéfice net de 80'378 fr. 80 pour l’année 2011. Le bénéfice net de l’appelant s’est enfin élevé à 72'444 fr. 60 en 2012 (compte S2994). En tenant compte des cotisations sociales à concurrence de 10'887 fr., on obtient un bénéfice net de 61'557 fr. 60 pour l’année 2012.</w:t>
      </w:r>
    </w:p>
    <w:p>
      <w:r>
        <w:rPr>
          <w:b/>
        </w:rPr>
        <w:t>E. 7.2</w:t>
      </w:r>
    </w:p>
    <w:p>
      <w:r>
        <w:t>Le premier juge a considéré qu’il se justifiait de corriger le bénéfice annuel ainsi obtenu en prenant en considération les prélèvements en nature de l’appelant (compte S9221) ainsi que sa part privée aux frais généraux (compte S9222). Or, il ressort de la comptabilité de l’association que ces postes ont respectivement été portés au crédit du compte S3710 (produit de l’exploitation agricole - prestations au privé) et au crédit du compte S6690 (charges d’exploitation - consommation privée). Ces prestations, qui ont pour effet d’augmenter les revenus de l’association en ce qui concerne les prélèvements en nature de l’associé et d’en diminuer les charges en ce qui concerne les prestations au privé, ont ainsi déjà été répercutées sur les résultats de l’exercice. Il n’y a donc pas lieu, comme l’a fait le premier juge, de répercuter une nouvelle fois les postes concernant les prélèvements en nature de l’appelant et sa part privée aux frais généraux, qui sont du reste fluctuants d’une année à l’autre contrairement à ce qui ressort du prononcé attaqué ; les montants y afférents ne seront donc pas additionnés au bénéfice net de l’appelant.</w:t>
      </w:r>
    </w:p>
    <w:p>
      <w:r>
        <w:rPr>
          <w:b/>
        </w:rPr>
        <w:t>E. 7.3</w:t>
      </w:r>
    </w:p>
    <w:p>
      <w:r>
        <w:t>Le premier juge a estimé qu’il convenait de déduire la valeur locative du logement de l’appelant, estimée à 7'022 fr., de la part du bénéfice net de l’association revenant à l’appelant. En présence d’un bien immobilier à usage mixte, on admet en matière fiscale, dans le cas d’un immeuble à prépondérance privée, la déduction - du revenu de l’activité indépendante - de la valeur locative de la partie commerciale (« sorte de loyer à soi-même ») qui viendra symétriquement augmenter le compte immobilier privé (cf. Yves Noël, in Commentaire romand Impôt fédéral direct, Bâle 2008, n. 67 ad art. 18 LIFD). En l’occurrence, l’appelant a produit en première instance un « Questionnaire complémentaire pour exploitants du sol propriétaires d’immeubles commerciaux – Année fiscale 2012 » duquel il ressort que la valeur locative de l’immeuble en question se monte à 7'022 fr. (rubrique « Détermination du revenu  des immeubles commerciaux »). La déduction de ce montant de 7'022 fr. à titre de valeur locative ne peut se justifier qu’à condition que cette valeur locative ait été comptabilisée dans les produits de l’exploitation agricole. En l’occurrence, tel n’est pas le cas. Il n’y a donc pas lieu de déduire le montant de 7'022 fr. de la part de bénéfice net de l’association revenant à l’appelant.</w:t>
      </w:r>
    </w:p>
    <w:p>
      <w:r>
        <w:rPr>
          <w:b/>
        </w:rPr>
        <w:t>E. 7.4.1</w:t>
      </w:r>
    </w:p>
    <w:p>
      <w:r>
        <w:t>En définitive, on retiendra que l’appelant a tiré de son activité indépendante un revenu de 101'770 fr. 60 pour l’année 2010, de 80'378 fr. 80 pour l’année 2011 et de 61'557 fr. 60 pour l’année 2012, soit un revenu annuel moyen de 81'235 fr. 65 ou 6'770 fr. arrondis par mois. Les charges incompressibles de l’appelant, telles que retenues par le premier juge, à savoir 850 fr. pour sa base mensuelle d’entretien, 150 fr. pour le droit de visite des enfants, 247 fr. 50 pour sa prime d’assurance-maladie et 400 fr. pour les charges courantes du domicile peuvent être confirmées. Elles s’élèvent ainsi à 1'647 fr. 50 par mois, le disponible de l’appelant se montant à 5'122 fr. 50 (6770 fr. - 1'647 fr. 50).</w:t>
      </w:r>
    </w:p>
    <w:p>
      <w:r>
        <w:rPr>
          <w:b/>
        </w:rPr>
        <w:t>E. 7.4.2</w:t>
      </w:r>
    </w:p>
    <w:p>
      <w:r>
        <w:t>Aux termes de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lI 77 ss, spéc. p. 107 s.; RSJ 1984, n. 4, p. 392 et note ; Meier/Stettler, Droit de la filiation, 4e éd., Zurich 2009, n. 978, pp. 567-568; TF 5A_84/2007 du 18 septembre 2007 c. 5.1, reproduit in Revue du droit de la tutelle 2007, p. 299). Ces pourcentages ne valent en général que si le revenu du débiteur se situe entre 3'500 fr. et 4'500 fr. par mois (ATF 116 III 110 c. 3a, JT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 6d et les réf. citées).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(cf. CACI 10 février 2012/74 c. 3b; CACI 19 janvier 2012/38; CREC II 22 octobre 2007/207 c. 5 et les réf. citées). Les pourcentages susmentionnés ne constituent que des taux approximatifs qui doivent être pondérés au vu des circonstances, selon l'équité (ATF 107 Il 406 c. 2c; RSJ 1984, n. 4, p. 392 précité; Meier/Stettler, op. cit., pp. 567-568).</w:t>
      </w:r>
    </w:p>
    <w:p>
      <w:r>
        <w:rPr>
          <w:b/>
        </w:rPr>
        <w:t>E. 7.4.3</w:t>
      </w:r>
    </w:p>
    <w:p>
      <w:r>
        <w:t>En l’espèce, l’application de la méthode des pourcentages ne prête pas le flanc à la critique, dès lors que l’on se trouve en présence de situations financières moyennes, que l’intimée ne réclame pas de pension pour elle-même mais uniquement pour les enfants du couple et que le minimum vital de l’appelant est préservé. La contribution d’entretien à verser par l’appelant se monte ainsi en principe à 1'692 fr. 50 par mois (6'770 fr. x 25%), soit 846 fr. 25 par enfant, hors allocations familiales. Compte tenu des circonstances de l’espèce, en particulier des déclarations de l’appelant et du témoin W.________ relatives aux mauvais résultats de l’exercice 2013 et à la tendance à la baisse des revenus agricoles, il n’y a pas lieu en l’occurrence d’opérer de reformatio in pejus. Cela se justifie d’autant plus que le montant de 810 fr. alloué par le premier juge correspond aux besoins actuels notamment d’encadrement des enfants, qui selon les déclarations de l’intimée, sont placés en garderie deux jours par semaine.</w:t>
      </w:r>
    </w:p>
    <w:p>
      <w:r>
        <w:rPr>
          <w:b/>
        </w:rPr>
        <w:t>E. 8</w:t>
      </w:r>
    </w:p>
    <w:p>
      <w:r>
        <w:t>En conclusion, l’appel doit être rejeté et le prononcé de mesures protectrices de l’union conjugale confirmé. Les frais judiciaires de deuxième instance sont arrêtés à 900 fr. (art. 65 al. 2 et 3 TFJC [tarif des frais judiciaires civils du 28 septembre 2010 ; RSV 270.11.5], frais de comparution et d’indemnisation du témoin par 157 fr. compris (art. 87 et 88 TFJC). Ils sont mis à la charge de l’appelant qui succombe (art. 106 al. 1 CPC). En sa qualité de conseil d’office de l’intimée, Me Alain Dubuis a droit à une rémunération équitable pour ses opérations et débours dans la procédure d’appel (art. 122 let. a CPC). Celui-ci a produit en date du 13 février 2014 un décompte indiquant 12 heures de travail et 120 fr. de débours pour ses opérations du 28 octobre 2013 au 13 février 2014. Ce décompte, qui ne comporte pas l’indication du temps consacré à chacune des opérations, apparaît exagéré compte tenu des opérations décrites. Il sera dès lors admis à concurrence de neuf heures de travail, de sorte que l’indemnité d’office de Me Dubuis doit être arrêtée à 1'620 fr. pour ses honoraires (180 fr. x 9 ; art. 2 al. 1 let. b RAJ [règlement sur l’assistance judiciaire en matière civile du 7 décembre 2010 ; RSV 211.02.03]), plus 120 fr. pour ses débours, TVA (8%) en sus, soit une indemnité totale de 1'879 fr. 20. La bénéficiaire de l’assistance judiciaire est tenue, dans la mesure de l’art. 123 CPC, au remboursement de l’indemnité à son conseil d’office, mise à la charge de l’Etat. L’appelant versera à M.________ des dépens de deuxième instance (art. 95 al. 1 let. b CPC), fixés d’office (art. 105 al. 1 CPC) conformément au tarif des dépens en matière civile du 23 novembre 2010 (TDC ;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2'000 fr., conformément à l’art. 7 TDC. Par ces motifs, la juge déléguée de la Cour d’appel civile du Tribunal cantonal, statuant à huis clos, prononce : I. L’appel est rejeté. II. Le prononcé est confirmé. III. Les frais judiciaires et les frais d’administration de preuve de deuxième instance, arrêtés à 900 fr. (neuf cents francs), sont mis à la charge de l’appelant A.Z.________. IV. L’indemnité d’office de Me Alain Dubuis, conseil de l’intimée M.________, est arrêtée à 1'879 fr. 20 (mille huit cent septante-neuf francs et vingt centimes), débours et TVA compris. V. La bénéficiaire de l’assistance judiciaire est, dans la mesure de l’art. 123 CPC, tenue au remboursement de l’indemnité de son conseil d’office mise à la charge de l’Etat. VI. L’appelant A.Z.________ doit verser à l’intimée M.________ la somme de 2'000 fr. (deux mille francs) à titre de dépens de deuxième instance. VII. L’arrêt est exécutoire. La juge déléguée : Le greffier : Du L'arrêt qui précède, dont la rédaction a été approuvée à huis clos, est notifié à : ‑ Me José Coret (pour A.Z.________), ‑ Me Alain Dubuis (pour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