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144 vom 24. Januar 2014</w:t>
      </w:r>
    </w:p>
    <w:p>
      <w:r>
        <w:t>VD Tribunal cantonal, 2014-01-24, FR</w:t>
      </w:r>
    </w:p>
    <w:p>
      <w:r>
        <w:rPr>
          <w:b/>
        </w:rPr>
        <w:t xml:space="preserve">Quelle: </w:t>
      </w:r>
      <w:r>
        <w:t>https://mcp.opencaselaw.ch/entscheid/vd_findinfo_HC___2014___144</w:t>
      </w:r>
    </w:p>
    <w:p>
      <w:r>
        <w:t>FR: VD_FINDINFO HC / 2014 / 144 du 24 janvier 2014</w:t>
      </w:r>
    </w:p>
    <w:p>
      <w:r>
        <w:t>IT: VD_FINDINFO HC / 2014 / 144 del 24 gennaio 2014</w:t>
      </w:r>
    </w:p>
    <w:p>
      <w:pPr>
        <w:pStyle w:val="Heading2"/>
      </w:pPr>
      <w:r>
        <w:t>Regeste</w:t>
      </w:r>
    </w:p>
    <w:p>
      <w:r>
        <w:t>MAJORITÉ{ÂGE}, OBLIGATION D'ENTRETIEN, MESURE PROVISIONNELLE, RELATIONS PERSONNELLES | 277 al. 2 CC, 286 al. 2 CC, 261 al. 1 CPC (CH), 303 al. 1 CPC (CH)</w:t>
      </w:r>
    </w:p>
    <w:p>
      <w:pPr>
        <w:pStyle w:val="Heading2"/>
      </w:pPr>
      <w:r>
        <w:t>Erwägungen</w:t>
      </w:r>
    </w:p>
    <w:p>
      <w:r>
        <w:rPr>
          <w:b/>
        </w:rPr>
        <w:t>E. 1</w:t>
      </w:r>
    </w:p>
    <w:p>
      <w:r>
        <w:t>L'appel est recevable contre les ordonnances de mesures provisionnelles (art. 308 al. 1 let. b CPC [Code de procédure civile du 19 décembre 2010; RS 272]),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En l’espèce, formé en temps utile et portant sur des conclusions qui, capitalisées selon l’art. 92 al. 1 CPC, sont supérieures à 10’000 fr., le présent appel est recevable. Un membre de la Cour d’appel civile statue comme juge unique sur les appels formés contre les décisions sur mesures provisionnelles (art. 84 al. 2 LOJV [loi du 12 septembre 1979 d'organisation judiciaire; RSV 173.01]).</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w:t>
      </w:r>
    </w:p>
    <w:p>
      <w:r>
        <w:rPr>
          <w:b/>
        </w:rPr>
        <w:t>E. 3</w:t>
      </w:r>
    </w:p>
    <w:p>
      <w:r>
        <w:t>a) L'appelant a conclu à la suppression de la contribution d'entretien fixée dans le jugement de divorce du 5 mars 2001. Il reproche au premier juge d'avoir rendu sa décision sur la base d'une simple vraisemblance découlant d'un examen sommaire des faits sans avoir examiné les chances de succès au fond. Il relève que, s'agissant de mesures provisionnelles valant mesure d'exécution anticipée, les exigences sont plus strictes que dans le cadre de mesures provisionnelles usuelles. Il soutient que, dans le cas d'espèce, les conditions au maintien d'une contribution d'entretien à un enfant majeur ne sont pas remplies, dès lors que l'intimé refuse d'entretenir des relations personnelles, et qu'au final cette situation se retournera contre celui-ci, qui devra rembourser les contributions d'entretien reçues dans le cadre des mesures provisionnelles. b/aa) Lorsque, dans le jugement de divorce, une contribution à l’entretien de l’enfant a été fixée pour la période postérieure à la majorité, cette contribution est due à l’enfant dès que celui-ci a accédé à la majorité (ATF 129 III 55 c. 3.1.4). Le parent débiteur de la contribution qui estime que les conditions de l’art. 277 al. 2 CC (Code civil suisse du 10 décembre 1907; RS 210) ne sont pas remplies peut ouvrir action en modification du jugement de divorce contre l’enfant majeur, conformément à l’art. 286 al. 2 CC (TF 5A_808/2012 du 29 août 2013 c. 3.2.2., destiné à la publication; TF 5A_18/2011 du 1 er juin 2011 c. 5.1.2 et 5.2 et les références citées). bb) Aux termes de l’art. 261 al. 1 CPC, le tribunal ordonne les mesures provisionnelles nécessaires lorsque le requérant rend vraisemblable qu’une prétention dont il est titulaire remplit les conditions suivantes : (a) elle est l’objet d’une atteinte ou risque de l’être; (b) cette atteinte risque de lui causer un préjudice difficilement réparable. Dans le cadre des mesures provisionnelles, le juge peut donc se limiter à la vraisemblance des faits et à l'examen sommaire du droit, en se fondant sur les moyens de preuve immédiatement disponibles.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in CPC commenté, Bâle 2011, n. 4 ad art. 261 CPC et les réf. citées).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Le dommage difficilement réparable de l’art. 261 al. 1 let. b CPC est principalement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c. 6.3). Le risque de préjudice difficilement réparable suppose par ailleurs l’urgence (Bohnet, op. cit., n. 12 ad art. 261 CPC) ; de façon générale, il y a urgence chaque fois que le retard apporté à une solution provisoire met en péril les intérêts d’une des parties (Hohl, La réalisation du droit et les procédures rapides, thèse d’habilitation, Fribourg 1994, n. 543). La mesure doit être proportionnée au risque d'atteinte. Il faut procéder à une pesée des intérêts contradictoires des deux parties au litige, c'est-à-dire à l'appréciation des désavantages respectifs pour le requérant et pour l'intimé, selon que la mesure requise est ordonnée ou refusée ; l'examen du droit et la pesée des intérêts en présence ne s'excluent pas : le juge doit pondérer le droit présumé du requérant à la mesure avec les conséquences irréparables que celle-ci peut entraîner pour l'intimé. Plus une mesure atteint de manière incisive la partie citée, plus il convient de fixer de hautes exigences quant à l'existence des faits pertinents et au fondement juridique de la prétention. Tel est en particulier le cas des mesures d'exécution anticipée provisoires (sur la notion de mesures d’exécution anticipée, cf. De Luze/Page/Stoudmann, Droit de la Famille, Lausanne 2013, ad art. 262 n. 1.1) lorsqu'elles sont susceptibles d'avoir un effet définitif, le litige étant alors privé d'intérêt au-delà du stade des mesures provisionnelles.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(Bohnet, op. cit., n. 18 ad art. 261 CPC ; TF 4A_611/2011 précité c. 4.1 et les réf. citées ; ATF 131 III 473 c. 2.3 et 3.2 ; Juge délégué CACI 20 septembre 2011/257). Selon la jurisprudence rendue sous l’empire de l'ancien art. 281 al. 2 CC (Code civil suisse du 10 décembre 1907, RS 210; article en vigueur jusqu'au 31 décembre 2010; RO 2010 1739, 1838), les mesures provisoires prises en faveur d'un enfant majeur sont des mesures d'exécution anticipée de ce qui est demandé au fond, ce qui expose l'enfant majeur à devoir rembourser au parent défendeur les contributions versées à titre provisoire en cas de rejet de l'action au fond (ATF 137 III 586 c. 1.2 et les réf. citées). L’art. 303 CPC, aussi applicable lorsque la demande d’aliments émane de l’enfant majeur (art. 277 al. 2 CC), parle du reste d’avance de contributions d’entretien équitables. cc) L'art. 277 al. 2 CC pose les conditions de l'obligation d'entretien des père et mère à l'égard de leur enfant majeur poursuivant sa formation. Cette obligation dépend expressément de l'ensemble des circonstances et notamment des relations personnelles entre les parties. L'inexistence de celles-là attribuée au seul comportement du demandeur d'aliments peut ainsi justifier un refus de toute contribution d'entretien. La jurisprudence exige toutefois que l'attitude de l'enfant lui soit imputable à faute, celle-ci devant être appréciée subjectivement (ATF 113 II 374 c. 2); l'enfant doit avoir violé gravement (ATF 111 II 410 c. 2) les devoirs qui lui incombent en vertu de l'art. 272 CC, et dans les cas où les relations personnelles sont rompues, avoir provoqué la rupture par son refus injustifié d'entretenir celles-là, son attitude gravement querelleuse ou son hostilité profonde. Admettre, dans de telles circonstances, le droit à l'entretien après la majorité reviendrait en effet à réduire le débiteur au rôle de parent payeur, ce que n'a assurément pas voulu le législateur (ATF 113 II 374 c. 2; ATF 120 II 177 c. 3c et les arrêts cités; TF 5A_560/2011 du 25 novembre 2011 c. 4.1.1 ; TF 5A_464/2008 du 15 décembre 2008 c. 3.1; TF 5C_205/2004 du 8 novembre 2004 c. 5.1, in FamPra.ch 2005 p. 414). Toutefois, une réserve particulière s'impose lorsqu'il s'agit du manquement filial d'un enfant de parents divorcés envers ceux-ci ou l'un d'eux;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celui-ci se soit comporté correctement envers lui, cette attitude inflexible lui est imputable à faute (ATF 113 II 374 c. 4; ATF 117 II 127 c. 3b; ATF 129 III 375 c. 4.2; TF 5A_560/2011 du 25 novembre 2011 c. 4.1.1; TF 5A_464/2008 du 15 décembre 2008 c. 3.1; TF 5C_205/2004 du 8 novembre 2004 c. 5.1, in FamPra.ch 2005 p. 414). Le Tribunal fédéral a notamment refusé une contribution d'entretien à une fille qui s'opposait à tout contact avec son père, divorcé de sa mère depuis plus de treize ans, et à qui elle reprochait d'être autoritaire, égoïste et incapable de prendre en compte les intérêts de la famille, alors qu'elle ne l'avait plus vu depuis dix ans (ATF 129 III 375). La contribution d’entretien doit être maintenue dans son principe lorsque la rupture ne peut pas être attribuée à l’enfant devenu majeur et qu’il n’est donc pas exclusivement responsable de la cessation des liens entre parties (TF 5C.205/2004 du 8 novembre 2004; TF 5C.94/2006 du 14 décembre 2006) (CACI du 13 mars 2012/126 c. 3), c) En l'espèce, bien que le divorce date de plus de dix ans, l'intimé n'a cessé de voir son père qu'en décembre 2010, soit il y a environ trois ans. Ce n'est qu'à ce moment qu'il a pu commencer de régler une partie de ses problèmes. L'intimé n'exclut pas tout contact avec son père et ne lui adresse pas de reproches généraux. Il explique simplement avoir dû cesser les relations personnelles car il les vivait très mal. Il a même dû suivre une psychothérapie, dont les résultats se sont révélés positifs. Vu la situation de l'intimé, on ne saurait considérer que la rupture des relations personnelles lui est totalement imputable. Il apparaît simplement que ce dernier a encore besoin de temps avant de reprendre des contacts avec l'appelant, ce qui peut être compréhensible au vu des circonstances. Dès lors qu'aucun élément n'indique que les chances de succès de l'intimé au fond sont plus faibles que celles de l'appelant, il n'y a pas lieu de supprimer la contribution d'entretien en raison de la rupture des relations personnelles.</w:t>
      </w:r>
    </w:p>
    <w:p>
      <w:r>
        <w:rPr>
          <w:b/>
        </w:rPr>
        <w:t>E. 5</w:t>
      </w:r>
    </w:p>
    <w:p>
      <w:r>
        <w:t>a) En conclusion, l'appel doit être rejeté et l'ordonnance de première instance confirmée par substitution de motifs. L’appelant ayant succombé, les frais judiciaires de deuxième instance, fixés à 600 fr. (art. 65 al. 2 TFJC [tarif des frais judiciaires civils du 28 septembre 2010; RSV 270.11.5]) sont mis à sa charge (art. 106 al. 1 CPC). Il devra en outre verser à l'intimé un montant de 1'100 fr. à titre de dépens de deuxième instance (art. 7 al. 1 TDC [tarif des dépens en matière civile du 23 novembre 2010]). b) L’intimé étant au bénéfice de l’assistance judiciaire, son conseil d’office, Me Isabelle Jacques, a droit à une indemnité équitable dans l’hypothèse où les dépens qui lui ont été alloués ne pourraient pas être recouvrés (art. 122 al. 2 CPC et art. 4 RAJ [règlement du 7 décembre 2010 sur l’assistance judiciaire en matière civile ; RSV 211.02.3]). Au vu de la liste des opérations produite, on peut retenir deux heures de travail effectuées par l'avocate-stagiaire et trois heures et demi par l'avocate, ainsi que 100 fr. de débours. Au tarif horaire de 110 fr. pour l'avocate-stagiaire et de 180 fr. pour l'avocate (art. 2 al. 1 let. a RAJ), l’indemnité due au conseil d’office de l’intimé doit être arrêtée à 1'026 fr., TVA par 8% et débours compris. c) Selon l'art. 334 al. 1 CPC, le dispositif d'une décision peut être rectifié lorsqu'il est peu clair, contradictoire, incomplet ou qu'il ne correspond pas à la motivation. En l'espèce, le dispositif du présent arrêt, communiqué aux parties le 28 janvier 2014, comprend une inadvertance manifeste dès lors qu'il omet de préciser que, dans la mesure de l’art. 123 al. 1 CPC, le bénéficiaire de l'assistance judiciaire est tenu au remboursement de l’indemnité de son conseil d’office mise à la charge de l’Etat. Par ces motifs, le juge délégué de la Cour d’appel civile du Tribunal cantonal, statuant à huis clos, prononce : I. L’appel est rejeté. II. L’ordonnance est confirmée. III. Les frais judiciaires de deuxième instance, arrêtés à 600 fr. (six cents francs), sont mis à la charge de l’appelant. IV. L’indemnité d’office de Me Isabelle Jacques, conseil de l’intimé, est arrêtée à 1'026 fr. (mille vingt-six francs), TVA et débours compris. V. Le bénéficiaire de l'assistance judiciaire est, dans la mesure de l'art. 123 CPC, tenu au remboursement de l'indemnité du conseil d'office mise à la charge de l'Etat. VI. L’appelant A.C.________ doit verser à l’intimé B.C.________ la somme de 1'100 fr. (mille cent francs) à titre de dépens de deuxième instance. VII. L’arrêt motivé est exécutoire. Le juge délégué : Le greffier : Du 28 janvier 2014 Le dispositif de l'arrêt qui précède est communiqué par écrit aux intéressés. Le greffier : Du L'arrêt qui précède, dont la rédaction a été approuvée à huis clos, est notifié en expédition complète, par l'envoi de photocopies à : ‑ Me Julien Fivaz (pour A.C.________), ‑ Me Isabelle Jacques (pour B.C.________).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