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142 vom 14. Januar 2014</w:t>
      </w:r>
    </w:p>
    <w:p>
      <w:r>
        <w:t>VD Tribunal cantonal, 2014-01-14, FR</w:t>
      </w:r>
    </w:p>
    <w:p>
      <w:r>
        <w:rPr>
          <w:b/>
        </w:rPr>
        <w:t xml:space="preserve">Quelle: </w:t>
      </w:r>
      <w:r>
        <w:t>https://mcp.opencaselaw.ch/entscheid/vd_findinfo_HC___2014___142</w:t>
      </w:r>
    </w:p>
    <w:p>
      <w:r>
        <w:t>FR: VD_FINDINFO HC / 2014 / 142 du 14 janvier 2014</w:t>
      </w:r>
    </w:p>
    <w:p>
      <w:r>
        <w:t>IT: VD_FINDINFO HC / 2014 / 142 del 14 gennaio 2014</w:t>
      </w:r>
    </w:p>
    <w:p>
      <w:pPr>
        <w:pStyle w:val="Heading2"/>
      </w:pPr>
      <w:r>
        <w:t>Regeste</w:t>
      </w:r>
    </w:p>
    <w:p>
      <w:r>
        <w:t>PROROGATION DE FOR, DÉCISION D'IRRECEVABILITÉ, MESURE PROVISIONNELLE | 13 CPC (CH), 17 CPC (CH), 18 CPC (CH), 317 CPC (CH)</w:t>
      </w:r>
    </w:p>
    <w:p>
      <w:pPr>
        <w:pStyle w:val="Heading2"/>
      </w:pPr>
      <w:r>
        <w:t>Erwägungen</w:t>
      </w:r>
    </w:p>
    <w:p>
      <w:r>
        <w:rPr>
          <w:b/>
        </w:rPr>
        <w:t>E. 1</w:t>
      </w:r>
    </w:p>
    <w:p>
      <w:r>
        <w:t>L’appel est recevable contre une ordonnance de mesures provisionnelles,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L’intérêt de l’appelante à la requête de mesures provisionnelles est d’une valeur supérieure à 10’000 francs. Formé en temps utile par une partie qui y a intérêt, l’appel interjeté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w:t>
      </w:r>
    </w:p>
    <w:p>
      <w:r>
        <w:rPr>
          <w:b/>
        </w:rPr>
        <w:t>E. 3</w:t>
      </w:r>
    </w:p>
    <w:p>
      <w:r>
        <w:t>Invoquant une violation des art. 13, 30 et 31 CPC, l’appelante reproche au premier juge de s’être déclaré compétent ratione loci, alors que le for exclusif se trouve à Nyon.</w:t>
      </w:r>
    </w:p>
    <w:p>
      <w:r>
        <w:rPr>
          <w:b/>
        </w:rPr>
        <w:t>E. 3.1</w:t>
      </w:r>
    </w:p>
    <w:p>
      <w:r>
        <w:t>Aux termes de l’art. 59 al. 1 CPC, le tribunal n’entre en matière que sur les demandes et les requêtes qui satisfont aux conditions de recevabilité de l’action (al. 1). Ces conditions sont notamment les suivantes: le tribunal est compétent à raison de la matière et du lieu (al. 2 let. b).</w:t>
      </w:r>
    </w:p>
    <w:p>
      <w:r>
        <w:rPr>
          <w:b/>
        </w:rPr>
        <w:t>E. 3.1.1</w:t>
      </w:r>
    </w:p>
    <w:p>
      <w:r>
        <w:t>Selon l’art. 13 CPC, sauf disposition contraire de la loi, est impérativement compétent pour ordonner des mesures provisionnelles: le tribunal compétent pour statuer sur l’action principale (let. a), le tribunal du lieu où la mesure doit être exécutée (let. b). Ainsi, qu’il y ait ou non litispendance au fond, le tribunal compétent pour statuer sur l’action principale peut prononcer des mesures provisionnelles, que sa compétence repose sur le texte légal ou une prorogation de for. La loi permet également au juge sur place de pouvoir prendre immédiatement la mesure qui s’impose. Le lieu d’exécution correspond au lieu où les mesures doivent être prises, comme par exemple le lieu où un bien doit être saisi (ATF 5A.95/2008 du 20 avril 2008 in RSPC [Revue Suisse de procédure civile] 2009 p. 120). Ainsi, même si les parties sont convenues d’une prorogation de for pour l’action principale, le requérant aux mesures provisionnelles peut agir au for alternatif impératif du lieu d’exécution de la mesure (ATF 138 III 555 c. 2.2).</w:t>
      </w:r>
    </w:p>
    <w:p>
      <w:r>
        <w:rPr>
          <w:b/>
        </w:rPr>
        <w:t>E. 3.1.2</w:t>
      </w:r>
    </w:p>
    <w:p>
      <w:r>
        <w:t>L’art. 17 CPC précise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Lorsque la clause désigne tous les litiges afférents au contrat dans lequel elle se trouve, elle vise au premier chef les prétentions fondées sur ce contrat, mais également les prétentions résultant d’actes illicites quand ces actes constituent simultanément une violation du contrat. L’art. 18 CPC dispose que, sauf disposition contraire de la loi, le tribunal saisi est compétent lorsque le défendeur procède sans faire de réserve sur sa compétence.</w:t>
      </w:r>
    </w:p>
    <w:p>
      <w:r>
        <w:rPr>
          <w:b/>
        </w:rPr>
        <w:t>E. 3.2</w:t>
      </w:r>
    </w:p>
    <w:p>
      <w:r>
        <w:t>En l’espèce, les parties ont conclu, le 3 janvier 2012, un contrat de leasing n°[...] concernant le bus [...], n° de châssis [...]. Les conditions générales de ce contrat prévoient expressément que le for exclusif est au siège de S.________SA (S.________SA), soit actuellement à Nyon. En application des dispositions précitées, le tribunal compétent pour statuer sur l’action principale, et par conséquent les mesures provisionnelles, est à Nyon et non pas à Lausanne. Par ailleurs, la mesure de restitution du véhicule requise par l’intimée devrait être exécutée chez [...] à Aclens, où se trouve précisément le camion en question. En application des dispositions précitées, le tribunal compétent serait donc également le tribunal civil de l'arrondissement de La Côte, et non pas celui de Lausanne.</w:t>
      </w:r>
    </w:p>
    <w:p>
      <w:r>
        <w:rPr>
          <w:b/>
        </w:rPr>
        <w:t>E. 4</w:t>
      </w:r>
    </w:p>
    <w:p>
      <w:r>
        <w:t>L’intimée explique que, le 25 février 2013, l’appelante a requis la restitution d’un certain nombre de véhicules S.________SA, dont notamment celui qu’elle refuse aujourd’hui de restituer, que, dans ce cadre, l’appelante elle-même a situé le for de l’action au fond à Lausanne, que la requête de l’intimée du 28 août 2013 relève du même complexe de faits que la requête au fond déposée le 25 février 2013 par S.________SA et que l’intimée était par conséquent fondée à considérer qu’en ouvrant action devant les autorités judiciaires de son domicile, l’appelante avait renoncé à se prévaloir de la prorogation de for.</w:t>
      </w:r>
    </w:p>
    <w:p>
      <w:r>
        <w:rPr>
          <w:b/>
        </w:rPr>
        <w:t>E. 4.1</w:t>
      </w:r>
    </w:p>
    <w:p>
      <w:r>
        <w:t>Il s’agit là d’allégations de l’intimée, qui sont nouvelles et par conséquent irrecevables (cf. supra c. 1). De plus, l’intimée n’explique pas en quoi elle n’aurait pas été en mesure de faire valoir cet argument en première instance déjà. Par ailleurs, ces allégations nouvelles ne sont démontrées par aucune pièce du dossier. Dans ces conditions, on ne saurait examiner cet argument au regard notamment de l’art. 14 CPC.</w:t>
      </w:r>
    </w:p>
    <w:p>
      <w:r>
        <w:rPr>
          <w:b/>
        </w:rPr>
        <w:t>E. 4.2</w:t>
      </w:r>
    </w:p>
    <w:p>
      <w:r>
        <w:t>Pour le reste, on doit relever que l’appelante n’a pas procédé, en première instance, sans faire de réserve sur la compétence du juge saisi. Au contraire, dans ses déterminations du 9 septembre 2013, elle a déjà conclu à l’irrecevabilité de la requête de mesures provisionnelles déposée par l’intimée au regard de la clause de prorogation de for conclue entre les parties et le lieu d’exécution de la mesure de restitution.</w:t>
      </w:r>
    </w:p>
    <w:p>
      <w:r>
        <w:rPr>
          <w:b/>
        </w:rPr>
        <w:t>E. 5</w:t>
      </w:r>
    </w:p>
    <w:p>
      <w:r>
        <w:t>En conclusion, l’appel doit être admis et la décision attaquée réformée en ce sens que la requête de mesures provisionnelles déposée par M.________SA est irrecevable. Les frais judiciaire de première instance, arrêtés à 1'700 fr., doivent être mis à la charge de M.________SA qui succombe (art. 106 al. 1 CPC), qui versera en outre à S.________SA un montant de 2'000 fr. à titre de dépens de première instance. Les frais judiciaire de deuxième instance sont arrêtés à 1'500 fr. (art. 65 al. 1 et 3 TFJC [tarif des frais judiciaires civils du 28 septembre 2010; RSV 270.11.5]) et mis à la charge de M.________SA (art. 106 al. 1 CPC). Elle devra en outre à l'appelante un montant de 1'500 fr. à titre de dépens de deuxième instance (art. 7 TDC [tarif des dépens en matière civile du 23 novembre 2010]). Par ces motifs, la juge déléguée de la Cour d’appel civile du Tribunal cantonal, statuant à huis clos, prononce : I. L’appel est admis. II. Il est à nouveau statué comme il suit : I. La requête de mesures provisionnelles déposée par M.________SA le 28 août 2013 est déclarée irrecevable. II. Les frais judiciaires des procédures superprovisionnelle et provisionnelle, arrêtés à 1'700 fr. (mille sept cents francs), sont mis à la charge de M.________SA. III. Une indemnité de 2'000 fr. (deux mille francs), à verser à S.________SA à titre de dépens, est mise à la charge de M.________SA III. Les frais judiciaires de deuxième instance, arrêtés à 1'500 fr. (mille cinq cents francs), sont mis à la charge de l’intimée. IV. Une indemnité de 3'000 francs (trois mille francs), à verser à l’appelante S.________SA à titre de restitution d’avance de frais et de dépens de deuxième instance, est mise à la charge de l’intimée M.________SA V. L’arrêt motivé est exécutoire. La juge déléguée : Le greffier : Du 14 janvier 2014 Le dispositif de l'arrêt qui précède est communiqué par écrit aux intéressés. Le greffier : Du L'arrêt qui précède, dont la rédaction a été approuvée à huis clos, est notifié en expédition complète, par l'envoi de photocopies à : ‑ Me Marc Mulleg (pour S.________SA), ‑ Me Yvan Guichard (pour M.________SA).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