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137 vom 19. Februar 2014</w:t>
      </w:r>
    </w:p>
    <w:p>
      <w:r>
        <w:t>VD Tribunal cantonal, 2014-02-19, FR</w:t>
      </w:r>
    </w:p>
    <w:p>
      <w:r>
        <w:rPr>
          <w:b/>
        </w:rPr>
        <w:t xml:space="preserve">Quelle: </w:t>
      </w:r>
      <w:r>
        <w:t>https://mcp.opencaselaw.ch/entscheid/vd_findinfo_HC___2014___137</w:t>
      </w:r>
    </w:p>
    <w:p>
      <w:r>
        <w:t>FR: VD_FINDINFO HC / 2014 / 137 du 19 février 2014</w:t>
      </w:r>
    </w:p>
    <w:p>
      <w:r>
        <w:t>IT: VD_FINDINFO HC / 2014 / 137 del 19 febbraio 2014</w:t>
      </w:r>
    </w:p>
    <w:p>
      <w:pPr>
        <w:pStyle w:val="Heading2"/>
      </w:pPr>
      <w:r>
        <w:t>Regeste</w:t>
      </w:r>
    </w:p>
    <w:p>
      <w:r>
        <w:t>DOL{VICE DU CONSENTEMENT}, CONTRAT D'ENSEIGNEMENT | 28 CO, 73 al. 1 LFPr</w:t>
      </w:r>
    </w:p>
    <w:p>
      <w:pPr>
        <w:pStyle w:val="Heading2"/>
      </w:pPr>
      <w:r>
        <w:t>Erwägungen</w:t>
      </w:r>
    </w:p>
    <w:p>
      <w:r>
        <w:rPr>
          <w:b/>
        </w:rPr>
        <w:t>E. 1</w:t>
      </w:r>
    </w:p>
    <w:p>
      <w:r>
        <w:t>a) 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b)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lorsque la décision a été prise en procédure ordinaire (art. 321 al. 1 CPC). Formé en temps utile par une partie qui y a un intérêt digne de protection (art. 59 al.</w:t>
      </w:r>
    </w:p>
    <w:p>
      <w:r>
        <w:rPr>
          <w:b/>
        </w:rPr>
        <w:t>E. 2</w:t>
      </w:r>
    </w:p>
    <w:p>
      <w:r>
        <w:t>Le recours est recevable pour violation du droit ainsi que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les références citées). Pour qu'une décision soit annulée au titre de l'arbitraire, il ne suffit pas qu'elle se fonde sur une motivation insoutenable ; encore faut-il qu'elle apparaisse arbitraire dans son résultat (ATF 136 III 552 c. 4.2 et les références citées).</w:t>
      </w:r>
    </w:p>
    <w:p>
      <w:r>
        <w:rPr>
          <w:b/>
        </w:rPr>
        <w:t>E. 3</w:t>
      </w:r>
    </w:p>
    <w:p>
      <w:r>
        <w:t>La LFPr est entrée en vigueur le 1 er janvier 2004, abrogeant notamment la loi fédérale du 19 avril 1978 sur la formation professionnelle (RO 1979 1687). Depuis son entrée en vigueur, la compétence pour reconnaître des diplômes professionnels appartient uniquement à l’OFFT. L’ordonnance y relative (OCM ES), entrée en vigueur le 1 er avril 2005, règle les conditions selon lesquelles les filières de formation et les études postdiplômes des écoles supérieures sont reconnues par la Confédération (art. 1 OCM ES). Elle prévoit que quiconque souhaite faire reconnaître une filière de formation ou d’étude postdiplômes doit présenter une demande (art. 16 OCM ES). Une commission fédérale des écoles supérieures est instituée (art. 20 al. 1 OCM ES) et évalue, à l’intention de l’OFFT, les plans d’études cadres ainsi que les demandes de reconnaissance fédérale de filières de formation et d’études postdiplômes. Sur le plan du droit transitoire, l’art. 73 al. 1 et 2 LFPr stipule que les ordonnances en vigueur de la Confédération et des cantons sur la formation professionnelle doivent être remplacées ou adaptées dans le délai de cinq ans à compter de la date d'entrée en vigueur de la loi (al. 1), et que les titres protégés acquis selon l'ancien droit restent protégés (al. 2). Les dispositions transitoires de l’OCM ES prévoient quant à elles que les filières de formation et les études postdiplômes des écoles supérieures reconnues par le DEFR selon l'ancien droit sont toujours réputées reconnues, tout comme les filières de formation et des études postdiplômes des écoles supérieures régies par le droit intercantonal (art. 23 al. 1 OCM ES). Les filières de formation et les études postdiplômes entamées sur la base du droit fédéral ou intercantonal avant l'entrée en vigueur de l’ordonnance et avant l'approbation des plans d'études cadres pertinents sont menées à terme selon l'ancien droit (art. 23 al. 2 OCM ES). Enfin, les détenteurs d'un titre octroyé par une école supérieure reconnue selon l'ancien droit fédéral ou régie par l'ancien droit intercantonal sont autorisés à porter les nouveaux titres correspondants, pour autant que les annexes de l’ordonnance n'en disposent pas autrement (art. 23 al. 4 OCM ES).</w:t>
      </w:r>
    </w:p>
    <w:p>
      <w:r>
        <w:rPr>
          <w:b/>
        </w:rPr>
        <w:t>E. 4</w:t>
      </w:r>
    </w:p>
    <w:p>
      <w:r>
        <w:t>La recourante se plaint tout d’abord de ce que le premier juge aurait constaté les faits de façon manifestement inexacte en ne retenant pas certains faits établissant qu’elle avait été reconnue par le canton de Vaud en qualité d’école supérieure le 7 avril 2004 et qu’elle déployait ses activités au vu et au su des autorités. Ce grief tombe cependant à faux puisque cette reconnaissance a été constatée en page</w:t>
      </w:r>
    </w:p>
    <w:p>
      <w:r>
        <w:rPr>
          <w:b/>
        </w:rPr>
        <w:t>E. 6</w:t>
      </w:r>
    </w:p>
    <w:p>
      <w:r>
        <w:t>a) lI résulte de ce qui précède que le recours manifestement mal fondé, doit être rejeté selon le mode procédural de l’art. 322 al. 1 CPC et la décision entreprise confirmée. b) Les frais judiciaires de deuxième instance, arrêtés à 200 fr. (art. 69 al. 1 TFJC [tarif des frais judiciaires civils du 28 septembre 2010, RSV 270.11.5]), seront mis à la charge de l’appelante, qui succombe (art. 106 al. 1 CPC). c) Il n’y a pas lieu d’allouer de dépens, dès lors que l’intimée n’a pas été invitée à se déterminer sur l’appel et n’a donc pas encouru de frais pour la procédure de deuxième instance (cf. art. 95 al. 3 CPC).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Fondation Denis Mavrocordatos pour le devenir du jeune enfant. IV. L’arrêt motivé est exécutoire. Le président :               La greffière : Du 19 février 2014 Le dispositif de l'arrêt qui précède est communiqué par écrit aux intéressés. La greffière : Du L'arrêt qui précède, dont la rédaction a été approuvée à huis clos, est notifié en expédition complète, par l'envoi de photocopies, à : ‑ Me Minh Son Nguyen (pour Fondation Denis Mavrocordatos pour le devenir du jeune enfant), ‑ M. Youri Diserens (pour Sarah GOUBERT). La Chambre des recours civile considère que la valeur litigieuse est de 4’910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