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132 vom 11. Februar 2014</w:t>
      </w:r>
    </w:p>
    <w:p>
      <w:r>
        <w:t>VD Tribunal cantonal, 2014-02-11, FR</w:t>
      </w:r>
    </w:p>
    <w:p>
      <w:r>
        <w:rPr>
          <w:b/>
        </w:rPr>
        <w:t xml:space="preserve">Quelle: </w:t>
      </w:r>
      <w:r>
        <w:t>https://mcp.opencaselaw.ch/entscheid/vd_findinfo_HC___2014___132</w:t>
      </w:r>
    </w:p>
    <w:p>
      <w:r>
        <w:t>FR: VD_FINDINFO HC / 2014 / 132 du 11 février 2014</w:t>
      </w:r>
    </w:p>
    <w:p>
      <w:r>
        <w:t>IT: VD_FINDINFO HC / 2014 / 132 del 11 febbraio 2014</w:t>
      </w:r>
    </w:p>
    <w:p>
      <w:pPr>
        <w:pStyle w:val="Heading2"/>
      </w:pPr>
      <w:r>
        <w:t>Regeste</w:t>
      </w:r>
    </w:p>
    <w:p>
      <w:r>
        <w:t>OBLIGATION D'ENTRETIEN, TRAIN DE VIE, MESURE PROVISIONNELLE, DIVORCE, COMPLÉMENT | 163 CC, 176 al. 1 ch. 1 CC, 179 CC, 276 CPC (CH), 317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patrimoniales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En l'espèce, s'agissant des pièces produites par l'intimé lors de l'audience d'appel du 11 février 2014, seuls le certificat médical du 20 janvier 2014 et la pièce relative à la taxe automobile du 3 janvier 2014 sont recevables. Les autres pièces auraient pu être produites à l'appui de la réponse déposée le 30 décembre 2013, voire pour certaines devant le premier juge, de sorte qu'elles sont irrecevables.</w:t>
      </w:r>
    </w:p>
    <w:p>
      <w:r>
        <w:rPr>
          <w:b/>
        </w:rPr>
        <w:t>E. 3</w:t>
      </w:r>
    </w:p>
    <w:p>
      <w:r>
        <w:t>S'agissant des règles à appliquer, on relève que le divorce des parties a déjà été prononcé en Suède, sans toutefois que les effets accessoires ne soient réglés. La situation des parties est ainsi similaire à celle d'une entrée en force partielle du jugement de divorce, portant uniquement sur le principe du divorce, ou à un divorce sur requête commune avec accord partiel. Or, dans le cas d'une entrée en force partielle du jugement de divorce, le fondement de l'art. 163 CC applicable en matière de mesures protectrices de l'union conjugale et de mesures provisionnelles avant divorce demeure valable jusqu'à ce que les questions patrimoniales entrent en force, puisque les mesures provisoires s'appliquent jusqu'à l'entrée en force du divorce sur les questions patrimoniales (Pichonnaz, Commentaire romand CC I, Bâle 2010, n. 12 ad art. 163 CC). A cela s'ajoute comme l'a relevé le premier juge que l'application des règles relatives aux mesures provisionnelles dans le cadre de la procédure de divorce se justifie dès lors que la question de la contribution d'entretien n'a pas encore été tranchée sur le fond et qu'une application de l'art. 125 CC à ce stade reviendrait à préjuger l'issue de la procédure. L'appelante ne remet du reste pas en cause l'appréciation du premier juge sur ce point. Ainsi, il y a bien lieu d'appliquer les règles relatives à l'entretien avant divorce.</w:t>
      </w:r>
    </w:p>
    <w:p>
      <w:r>
        <w:rPr>
          <w:b/>
        </w:rPr>
        <w:t>E. 4</w:t>
      </w:r>
    </w:p>
    <w:p>
      <w:r>
        <w:t>L'appelante reproche au premier juge d'avoir accordé une pension à l'intimé uniquement en raison du fait que ce dernier n'avait plus de revenu. Dès lors qu'il était financièrement indépendant durant la vie commune et ne s'occupait d'aucune tâche, le premier juge n'aurait pas dû s'écarter de la convention des parties et lui allouer une pension. Selon elle, la répartition des rôles durant le mariage n'a notamment aucunement empêché l'intimé de travailler et de se former, de telle sorte qu'il conviendrait de lui imputer un revenu hypothétique. a) Il faut tout d'abord constater qu'un prononcé de mesures protectrices de l'union conjugale a été rendu le 7 janvier 2013 en Suisse, qui a réglé les relations des parties jusqu'à ce que l'ordonnance entreprise ne soit rendue (ATF 129 III 60 /JT 2003 I 45). Ainsi, en déposant sa requête de mesures provisionnelles du 11 juin 2013, l'intimé a sollicité dans les faits une modification du prononcé de mesures protectrices de l'union conjugale précité.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 TF 5A_301/2011 du 1er décembre 2011 c. 5.1 ; TF 5A_475/2011 du 12 décembre 2011 c. 4.1).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 TF 5A_205/2010 du 12 juillet 2010 c. 4.2.3, publié in FamPra.ch 2010 p. 894 ; ATF 119 II 314 c. 4b/aa). Le juge peut ainsi être amené à adapter la convention conclue pour la vie commune, à la lumière de ces faits nouveaux (TF 5A_236/2011 du 18 octobre 2011 c. 4.2.3 ; sur le tout TF 5A_301/2011 du 1er décembre 2011 c. 5.1).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d)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p. 673). Il en va de même de l'octroi d'un revenu d'insertion (CACI 12 décembre 2012/574 c.4.1). e) En l'espèce, la situation de l'intimé a changé depuis le prononcé de mesures protectrices rendu le 7 janvier 2013 puisqu'il ne perçoit plus d'indemnités de l'assurance-chômage depuis le 21 octobre 2013. Il se justifie dès lors de réexaminer la question du montant de la contribution d'entretien. Durant la vie commune, les époux ont vécu grâce à la fortune, et à ses revenus, de l'appelante. Cette dernière ne le conteste pas puisqu'elle fait valoir qu'elle s'est occupée seule des enfants et qu'elle a assumé seule leur entretien, son époux n'étant que peu présent. L'intimé disposait quant à lui d'un revenu, qu'il affectait, pour l'essentiel, à ses dépenses personnelles. Toutefois, la situation a changé et cette convention peut être modifiée. En application de l'art. 163 CC, qui demeure la cause de l'entretien, l'appelante peut en effet être tenue de participer d'une manière plus importante aux frais de la famille dans la mesure où l'intimé ne réalise plus de revenu. Ainsi, le fait que la répartition des rôles durant le mariage n'ait pas empêché l'intimé de se former et de travailler ne saurait, en soi, exclure toute obligation de l'appelante de contribuer à son entretien. Reste à déterminer s'il y a lieu d'imputer à ce dernier un revenu hypothétique. L'intimé, âgé de 56 ans, a été licencié au mois de mars 2012 pour des motifs économiques. Il a ensuite perçu des indemnités de l'assurance-chômage jusqu'au mois d'octobre 2013. Il ressort des documents intitulés "Preuves des recherches personnelles effectuées en vue de trouver un emploi" qu'il a cherché activement une place de travail à raison de quatorze postulations par mois. Il se dit en outre ouvert à d'autres postes que ceux occupés précédemment. Il découle de l'instruction que l'intimé n'a pas renoncé volontairement à ses revenus. Il a ensuite effectué de nombreuses recherches d'emploi et a ainsi tout mis en œuvre afin de retrouver une activité salariée. En tenant compte également de son âge, de sa maîtrise moyenne du français et de la crise actuelle, en particulier dans le milieu bancaire, on peut considérer qu'il lui est très difficile de retrouver un emploi et dès lors qu'il n'est pas responsable de sa situation actuelle. Cela est d'autant plus vrai si l'on considère l'état de santé actuel de l'intimé. Certes, il doit poursuivre ses recherches avec assiduité dans le but de réaliser à terme à nouveau un revenu. Toutefois, en l'état et au vu des circonstances personnelles, il n'y a pas lieu de lui imputer un revenu hypothétique. L'argumentation de l'appelante sur ces différents points est ainsi infondée.</w:t>
      </w:r>
    </w:p>
    <w:p>
      <w:r>
        <w:rPr>
          <w:b/>
        </w:rPr>
        <w:t>E. 5</w:t>
      </w:r>
    </w:p>
    <w:p>
      <w:r>
        <w:t>a) L'appelante soutient encore que l'intimé n'aurait pas démontré son train de vie dès lors qu'il n'a produit que quelques pièces relatives au loyer, au téléphone, à Billag, à l'ECA, et à Romande énergie. En particulier, ses frais d'assurance-maladie, de RC véhicule, d'habillement, de restaurant, d'habillement, de vacances et sa charge fiscale ne sont étayés par aucune pièce. b)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 29 ad art. 176 CC).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C'est au créancier de la contribution d'entretien qu'il incombe de préciser les dépenses nécessaires à son train de vie et de les rendre vraisemblables (ATF 115 II 424 c. 2 ; TF 5A_732/2007 du 4 avril 2008 c. 2.2 ; TF 5A_475/2011 du 12 décembre 2011 c. 4.1), la maxime inquisitoire ne dispensant pas le crédirentier de son devoir de collaborer et donc de préciser les dépenses nécessaires à son train de vie et de rendre celles-ci vraisemblables (TF 5A_661/2011 du 16 février 2012 c. 4.2). Toutefois, les mesures protectrices de l’union conjugale et les mesures provisionnelles sont ordonnées à la suite d’une procédure sommaire, avec administration restreinte des moyens de preuve et limitation du degré de la preuve à la simple vraisemblance (ATF 127 III 474 c. 2b/bb ; ATF 120 II 352 c. 2b). Il suffit donc que les faits soient rendus plausibles. Le point de savoir si le degré de vraisemblance requis par le droit fédéral est atteint dans le cas particulier ressortit à l’appréciation des preuves (ATF 130 III 321 c. 5 ; TF 5A_508/2011 du 21 novembre 2011 c. 1.3). Dans le cadre de mesures provisionnelles ou de mesures protectrices, le juge statue sur la base de la simple vraisemblance après une administration limitée des preuves, en se fondant sur les moyens de preuve immédiatement disponibles (ATF 131 III 473 c. 2.3 in limine ; TF 5A 497/2011 du 5 décembre 2011 c. 3.2 ; TF 5A_41/2011 du 10 août 2011 c. 4.2 in fine ; TF 5A_4/2011 du 9 août 2011 c. 3.2; TF 5A_720/2009 du 18 janvier 2010 c. 5.3), ce qui exclut notamment la mise en oeuvre d’une expertise financière sur les revenus d’une partie (CACI 6 février 2012/59 ; CACI 25 août 2011/211; Chaix, in Commentaire romand, Bâle 2010, n. 7 ad art. 176 CC). c) En l'espèce, l'appelante avait été astreinte à verser une contribution d'entretien de 2'500 fr. en faveur de l'intimé par prononcé de mesures protectrices du 7 janvier 2013. A cette époque, celui-ci bénéficiait d'indemnités de l'assurance-chômage de l'ordre de 8'257 fr. 10 brut par mois, soit 7'366 fr net en tenant compte des charges sociales de 10.78 %. Le premier juge avait considéré que le budget présenté par l'intimé ne permettait pas de définir clairement son train de vie mais qu'il se justifiait de lui attribuer une contribution d'entretien de 2'500 fr. afin qu'il puisse le maintenir. On en déduit que le juge des mesures protectrices avait estimé le train de vie de l'intimé à plus de 9'000 francs. Cette décision n'avait pas été remise en cause par l'appelante. Dans l'ordonnance entreprise, le premier juge a fixé la contribution d'entretien à 9'000 fr. par mois à partir du 1 er novembre 2013 en se référant au train de vie de l'époux. Le premier juge a tenu compte des charges alléguées par l'intimé, à l'exception du poste "location Crans" qu'il a jugé superflu dans la mesure où son épouse disposait d'un chalet dans cette station, et a ainsi estimé ses dépenses mensuelles à 8'975 fr. 30, soit un montant inférieur à celui retenu dans le prononcé de mesures protectrices du 7 janvier 2013. Faute d'élément permettant de conclure que les dépenses nécessaires au maintien du train de vie de l'intimé se seraient réduites dans une mesure plus conséquente depuis le prononcé précité, cette appréciation n'est pas critiquable. Par ailleurs s'il est vrai que l'intimé n'a pas étayé toutes les charges alléguées, on rappellera qu'au stade des mesures provisionnelles la vraisemblance suffit et que les frais allégués sont plausibles et n'ont rien d'exorbitants au vu de la situation des parties . Il en découle que l'estimation du train de vie de l'intimé effectuée par le premier juge ne prête pas le flanc à la critique.</w:t>
      </w:r>
    </w:p>
    <w:p>
      <w:r>
        <w:rPr>
          <w:b/>
        </w:rPr>
        <w:t>E. 6</w:t>
      </w:r>
    </w:p>
    <w:p>
      <w:r>
        <w:t>En conclusion, l'appel doit être rejeté et l'ordonnance confirmée. Les frais judiciaires de deuxième instance, arrêtés à 1'500 fr. (art. 65 al. 4 TFJC [tarif des frais judiciaires civils du 28 septembre 2010; RSV 270.11.5]) sont mis à la charge de l'appelante. Celle-ci versera à l'intimé un montant de 2'000 fr. (art. 7 al. 1 TDC [tarif des dépens en matière civile du 23 novembre 2010]) à titre de dépens de deuxième instance. Par ces motifs, le juge délégué de la Cour d’appel civile du Tribunal cantonal, statuant à huis clos, prononce : I. L’appel est rejeté. II. L'ordonnance est confirmée. III. Les frais judiciaires de deuxième instance, arrêtés à 1'500 fr. (mille cinq cent francs) sont mis à la charge de l’appelante Mme J.________. IV. L'appelante Mme J.________ doit verser à l'intimé M. J.________ la somme de 2'000 fr. (deux mille francs) à titre de dépens de deuxième instance. V. L’arrêt est exécutoire. Le juge délégué : Le greffier : Du L'arrêt qui précède, dont la rédaction a été approuvée à huis clos, est notifié à : ‑ Me Christine Marti (pour Mme J.________), ‑ Me Violaine Jaccottet Sherif (pour M. J.________).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