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127 vom 11. Dezember 2013</w:t>
      </w:r>
    </w:p>
    <w:p>
      <w:r>
        <w:t>VD Tribunal cantonal, 2013-12-11, FR</w:t>
      </w:r>
    </w:p>
    <w:p>
      <w:r>
        <w:rPr>
          <w:b/>
        </w:rPr>
        <w:t xml:space="preserve">Quelle: </w:t>
      </w:r>
      <w:r>
        <w:t>https://mcp.opencaselaw.ch/entscheid/vd_findinfo_HC___2014___127</w:t>
      </w:r>
    </w:p>
    <w:p>
      <w:r>
        <w:t>FR: VD_FINDINFO HC / 2014 / 127 du 11 décembre 2013</w:t>
      </w:r>
    </w:p>
    <w:p>
      <w:r>
        <w:t>IT: VD_FINDINFO HC / 2014 / 127 del 11 dicembre 2013</w:t>
      </w:r>
    </w:p>
    <w:p>
      <w:pPr>
        <w:pStyle w:val="Heading2"/>
      </w:pPr>
      <w:r>
        <w:t>Regeste</w:t>
      </w:r>
    </w:p>
    <w:p>
      <w:r>
        <w:t>OBLIGATION D'ENTRETIEN, CONJOINT, DIVORCE, REVENU HYPOTHÉTIQUE, FRAIS{EN GÉNÉRAL}, LOYER, FORTUNE PRISE EN CONSIDÉRATION, MINIMUM VITAL | 125 al. 1 CC, 125 CC</w:t>
      </w:r>
    </w:p>
    <w:p>
      <w:pPr>
        <w:pStyle w:val="Heading2"/>
      </w:pPr>
      <w:r>
        <w:t>Erwägungen</w:t>
      </w:r>
    </w:p>
    <w:p>
      <w:r>
        <w:rPr>
          <w:b/>
        </w:rPr>
        <w:t>E. 1</w:t>
      </w:r>
    </w:p>
    <w:p>
      <w:r>
        <w:t>a) 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En l'espèce, formés en temps utile par des parties qui y ont intérêt et portant sur des conclusions supérieures à 10'000 fr., les deux appels sont formellement recevables.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w:t>
      </w:r>
    </w:p>
    <w:p>
      <w:r>
        <w:rPr>
          <w:b/>
        </w:rPr>
        <w:t>E. 2</w:t>
      </w:r>
    </w:p>
    <w:p>
      <w:r>
        <w:t>En l'espèce, seule la contribution d'entretien due par A.L.________ en faveur de B.L.________ est litigieuse. a) L'appelant soutient que le revenu hypothétique imputé par les premiers juges à l'appelante est insuffisant, dès lors qu'elle est au bénéfice d'une expérience d'employée de commerce de plus d'une dizaine d'année. Ainsi, il estime que l'on devrait admettre un revenu raisonnablement exigible de l'ordre de 2'450 fr. à mi-temps. Il remet également en question les frais de logement de l'appelante. Cela étant, il fait valoir que l'appelante est en mesure d'assurer elle-même son entretien convenable. Il soutient à titre subsidiaire qu'une éventuelle pension devrait être limitée dans le temps jusqu'à ce que leur fils D.L.________ ait atteint l'âge de 16 ans révolus, soit jusqu'en juin 2016. Pour sa part, l'appelante conteste le revenu hypothétique qui lui a été imputé par les premiers juges, remet en cause certaines charges et soutient que son manco ne peut être couvert par le biais du capital reçu dans le cadre de la liquidation du régime matrimonial. b) Aux termes de l'art. 125 al. 1 CC (Code civil suisse du 10 décembre 1907, RS 210),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TF 5A_478/2010 du 20 décembre 2010 c. 4.1.1). c) La loi n'impose pas de méthode particulière s'agissant du calcul de la contribution d'entretien. La détermination de celle-ci relève du pouvoir d'appréciation du juge, qui applique les règles du droit et de l'équité (TF 5C.222/2000 du 25 janvier 2001 c. 3a). Lorsqu'il s'agit de fixer la contribution à l'entretien d'un conjoint dont la situation financière a été concrètement et durablement influencée par le mariage, l'art. 125 CC prescrit de procéder en trois étapes (ATF 137 III 102; ATF 134 III 145 c. 4).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Lorsque le divorce est prononcé après une longue séparation, à savoir une dizaine d'années, la situation de l'époux bénéficiaire durant cette période est en principe déterminante (ATF 137 III 102; ATF 132 III 598 c. 9.3). La date de la séparation définitive est déterminante (TF 5C.320/2006 du 1 er février 2007 reproduit in FamPra.ch 2007, p. 685). La deuxième étape relative à l'application de l'art. 125 CC consiste à examiner dans quelle mesure chacun des époux peut financer lui-même l'entretien arrêté à l'étape précédente du raisonnement (ATF 134 III 145 c. 4; ATF 134 III 577 c. 3).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ATF 137 III 102). En pratique, l'obligation d'entretien est souvent fixée jusqu'au jour où le débiteur de l'entretien atteint l'âge de l'AVS; il n'est toutefois pas exclu d'allouer une rente sans limitation de durée (ATF 132 III 593 c. 7.2), en particulier lorsque l'amélioration de la situation financière du créancier n'est pas envisageable et que les moyens du débiteur le permettent (TF 5A_658/2008 du 31 juillet 2009 c. 4.1. et les réf. citées). Aussi, une contribution est due après le divorce pour autant que le mariage ait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dès lors que le principe de l'autonomie prime le droit à l'entretien, ce qui se déduit directement de l'art. 125 CC; un époux ne peut ainsi prétendre à une pension que s'il n'est pas en mesure de pourvoir lui-même à son entretien convenable et si son conjoint dispose d'une capacité contributive (ATF 137 III 102 c. 4.2.1; ATF 134 III 145 c. 4).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 références, JT 2009 I 153, SJ 2008 I 308; ATF 134 III 577 c. 3, JT 2009 I 272; SJ 2009 I 449). Cette jurisprudence a été nuancée (ATF 134 III 577, JT 2009 I 272, SJ 2009 I 449; cf. TF 5A_827/2010 du 13 octobre 2011 c. 4.1)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d) En l'espèce, le mariage des parties a duré plus de douze ans jusqu'à leur séparation en octobre 2008. Ils ont en outre eu deux enfants, qui sont à l'heure actuelle encore mineurs. Ainsi, à l'instar de ce qu'ont retenu les premiers juges, leur union a eu un impact déterminant sur la situation de l'appelante, ce qui n'est d'ailleurs pas contesté en appel.</w:t>
      </w:r>
    </w:p>
    <w:p>
      <w:r>
        <w:rPr>
          <w:b/>
        </w:rPr>
        <w:t>E. 3</w:t>
      </w:r>
    </w:p>
    <w:p>
      <w:r>
        <w:t>a) Pour un mariage ayant eu un impact sur la situation des parties,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ensuite de déterminer la capacité contributive du débirentier et de fixer une contribution équitable, celle-ci se fondant sur le principe de solidarité qui est à la base de l'obligation d'entretien prévue à l'art. 125 CC (ATF 134 III 145; ATF 137 III 102). b) Les appelants ne contestent pas le niveau de vie durant la vie commune retenu par les premiers juges, dont on peut confirmer ici le raisonnement. On peut ainsi retenir que, les parties n'ayant pas fait d'économies durant le mariage, le montant nécessaire pour maintenir le train de vie de l'appelante, partant la limite supérieure de l'entretien, s'élève à 5'100 francs.</w:t>
      </w:r>
    </w:p>
    <w:p>
      <w:r>
        <w:rPr>
          <w:b/>
        </w:rPr>
        <w:t>E. 4</w:t>
      </w:r>
    </w:p>
    <w:p>
      <w:r>
        <w:t>a) S'agissant de la deuxième étape, pour fixer la contribution d'entretien, le juge doit en principe tenir compte du revenu effectif du crédirentier. Il peut toutefois lui imputer un revenu hypothétique supérieur. Le motif pour lequel le crédirentier a renoncé à un revenu, ou à un revenu supérieur, est, dans la règle, sans importance. En effet, l'imputation d'un revenu hypothétique ne revêt pas un caractère pénal. Il s'agit simplement d'inciter la personne à réaliser le revenu qu'elle est en mesure de se procurer et cumulativement (ATF 137 III 118 c. 2.3, JT 2011 II 486)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2012, Mindestlöhne sowie orts- und berufübliche Löhne in der Schweiz, Zurich 2012; ATF 137 III 118 c. 3.2, JT 2011 II 486; TF 5A_99/2011 du 26 septembre 2011 c. 7.4.1 non publié aux ATF 137 III 604; TF 5A_860/2011 du 11 juin 2012 c. 4.1), pour autant qu'ils soient pertinents par rapport aux circonstances d'espèce (TF 5A_112/2013 du 25 mars 2013 c. 4.1.3). A cet égard, il existe une présomption de fait selon laquelle il est déraisonnable d'exiger la reprise d'une activité lucrative au-delà de l'âge de 45 ans, mais cette limite d'âge ne doit pas être considérée comme une règle stricte (ATF 137 III 102 c. 4.2.2.1 et réf.). Toutefois, après un mariage de 20 ans, avec un âge avancé et une santé fragile, les chances de l'ex-épouse sur le marché du travail sont restreintes, même avec une bonne formation (TF 5A_679/2007 du 13 octobre 2008 reproduit in FamPra.ch 2009, p. 198). La présomption peut être renversée, en fonction d'autres éléments qui plaideraient en faveur de la prise ou de l'augmentation d'une activité lucrative. La limite d'âge tend à être augmentée à 50 ans (ATF 137 III 102 c. 4.2.2.2; TF 5A_206/2010 du 21 juin 2010 c. 5.3.2 et les arrêts cités). Enfin, cette limite d’âge ne s’applique que partiellement quand il ne s’agit pas de reprendre une activité lucrative, mais d’étendre l’activité existante (TF 5A_332/2011 du 10 avril 2012 c. 3.3.1).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 2.2). Le juge du fait tient compte de ces lignes directrices dans l'exercice du large pouvoir d'appréciation qui est le sien (ATF 134 III 577 c. 4; sur le tout: ATF 137 III 102 c. 4.2.2.2; TF 5A_909/2010 du 4 avril 2011, SJ 2011 I 315). b) En l'espèce, les premiers juges ont relevé que durant le mariage, l'appelante avait travaillé à mi-temps dans l'entreprise de son mari pour un revenu mensuel net de 3'000 francs. Ils ont souligné que le salaire pour un travail non qualifié à plein temps dans la région Vaud-Genève-Valais était de 5'850 fr. brut par mois dans le secteur du secrétariat, de l'ordre de 5'600 fr. pour un poste pour d'autres activités commerciales et administratives et de 3'940 fr. pour des activités dans la vente au détail de biens de consommation et de services, soit une moyenne de 5'130 fr. brut. Ils ont estimé qu'au vu de l'âge des enfants, on ne pouvait exiger de l'appelante qu'elle exerce une activité à plein temps jusqu'à ce que le cadet ait atteint l'âge de 16 ans révolus, mais uniquement une activité à mi-temps, susceptible de lui procurer un revenu mensuel de 2'000 fr. net. Dès juin 2016, les premiers juges ont considéré qu'on pouvait lui imputer un revenu hypothétique net de 4'000 fr. par mois correspondant à une activité à temps complet. L'appelant considère toutefois que seul le salaire résultant de l'exercice d'une activité dans le domaine du secrétariat/chancellerie et dans le domaine commercial/administratif, à l'exclusion de celui relatif à la vente, devrait être pris en compte pour évaluer le revenu hypothétique de l'appelante. Il y aurait donc lieu de retenir une moyenne de 5'725 fr. brut, respectivement 4'895 fr. net à plein temps et 2'450 fr. à mi-temps. Pour sa part, l'appelante soutient qu'elle a effectué en vain de nombreuses recherches d'emploi à plein temps et se prévaut des postulations effectuées selon des pièces produites le 11 mars 2013. Elle souligne en outre que lorsque le cadet de ses enfants aura atteint 16 ans, elle sera elle-même âgée de 52 ans, ce qui rendra d'autant plus difficile sa réinsertion. Elle conteste ainsi qu'un revenu hypothétique puisse lui être imputé. c) L'appelante a travaillé comme secrétaire dans la société R.________SA – soit l'entreprise de son mari – à 50 % du 1 er janvier 1997 au 31 août 2009. De septembre 2009 jusqu'en avril 2010, elle a œuvré en qualité de vendeuse à mi-temps auprès de la boutique [...]. A l'heure actuelle, elle travaille à 50 % dans le domaine des soins à domicile pour un revenu mensuel de 1'580 fr. net et prétend rechercher une autre activité pour le mi-temps restant. Nonobstant son problème de surdité, qui l'empêche de travailler dans un salon de coiffure – sa formation de base –, il n'apparaît pas que l'appelante soit empêchée, pour des raisons de santé, d'avoir une activité à plein temps dans d'autres domaines. Depuis son licenciement en 2009, elle n'a effectué des recherches d'emploi que dans les domaines de la vente et de la santé, ainsi que cela ressort des pièces qu'elles a produites à cet égard. On dénombre 162 recherches d'emploi en près de quatre ans, ce qui équivaut à trois ou quatre recherches par mois. On ne saurait dès lors parler de recherches très assidues. On doit surtout relever que l'appelante n'a effectué aucune recherche dans le domaine du secrétariat, alors même qu'elle peut se prévaloir d'une expérience à mi-temps de plus de dix ans dans ce domaine. Au vu de ces éléments, c'est à juste titre que les premiers juges ont retenu qu'une activité à plein temps était effectivement exigible et possible dès juin 2016. Compte tenu de l'âge de l'appelante, il était en outre admissible de ne pas tenir uniquement compte des emplois dans le domaine du secrétariat, mais de retenir une moyenne entre les salaires pouvant être obtenus dans les emplois de cette catégorie et les activités dans la vente au détail de biens de consommation et de services, dans lesquelles l'intéressée avait effectué ses recherches d'emploi. En procédant de la sorte, les premiers juges ont tenu compte de manière adéquate du fait que des emplois dans ces différentes catégories entraient légitimement en ligne de compte pour élargir les possibilités concrètes de trouver un emploi correspondant aux compétences de l'appelante, notamment au regard de son âge. A l'inverse, celle-ci ne peut se limiter à des recherches d'emploi dans les domaines de la vente ou de la santé. Le gain hypothétique de 4'000 fr. net par mois pour une activité à plein temps, respectivement 2'000 fr. pour une activité à mi-temps, retenu par les premiers juges, ne prête pas le flanc à la critique.</w:t>
      </w:r>
    </w:p>
    <w:p>
      <w:r>
        <w:rPr>
          <w:b/>
        </w:rPr>
        <w:t>E. 5</w:t>
      </w:r>
    </w:p>
    <w:p>
      <w:r>
        <w:t>a) Les premiers juges ont également considéré que l'appelante allait recevoir un montant de 235'229 fr. à titre de liquidation du régime matrimonial. Cette somme, répartie sur seize ans, représentait un montant de 1'318 fr. par mois, et elle pouvait donc utiliser ce montant pour assurer son entretien convenable. L'appelante conteste cette façon de procéder, estimant que sa fortune ne devrait pas être prise en compte. b) La fixation du montant et de la durée de la contribution d’entretien dépend notamment des revenus et de la fortune des époux. La fonction et la composition de leur fortune déterminent si le crédirentier ou le débirentier doivent mettre celle-ci à contribution. Rien ne s’oppose à l’utilisation de la fortune servant de prévoyance pour garantir la sécurité de l’entretien de l’époux à l’échéance de la contribution. On ne peut pas refuser de considérer une fortune sous prétexte qu’elle résulte d’un héritage ou qu’elle a été investie dans le logement de famille. L’égalité de traitement entre époux s’oppose à ne prendre en compte la fortune que d’un époux et pas de l’autre (TF 5A_279/2013 du 10 juillet 2013 c. 2.1, in FamPra.ch 2013 p. 1022). c) En l'espèce, il n'apparaît pas que la fortune de l'épouse soit supérieure à celle de son mari, dont il n'a pas été tenu compte dans sa capacité contributive. Au contraire, la fortune de l'époux, dont les biens propres s'élèvent à 348'634 fr., y compris les actions de sa société, alors que les biens propres de l'épouse se montent à 62'355 fr., est plus élevée. Il n'y a dès lors pas lieu de prendre en compte la fortune de l'appelante et d'exiger d'elle qu'elle en entame et en épuise la substance jusqu'à sa retraite. L'appel de l'épouse est bien fondé sur ce point.</w:t>
      </w:r>
    </w:p>
    <w:p>
      <w:r>
        <w:rPr>
          <w:b/>
        </w:rPr>
        <w:t>E. 6</w:t>
      </w:r>
    </w:p>
    <w:p>
      <w:r>
        <w:t>a) En définitive, l'appel formé par A.L.________ sera rejeté et celui formé par B.L.________ partiellement admis et le jugement entrepris réformé en ce sens que A.L.________ contribuera à l’entretien de B.L.________ par le régulier versement d’une pension mensuelle de 2'250 fr., payable d’avance le premier de chaque mois en mains de la bénéficiaire, dès jugement définitif et exécutoire et jusqu’au 1 er juin 2016 y compris, puis dès lors de 1'100 fr., jusqu’à ce que A.L.________ soit au bénéfice d’une rente AVS. b) La quasi-totalité des effets accessoires du divorce ont été réglés en première instance par convention. L'appelante n'a obtenu que partiellement gain de cause sur la seule question restée litigieuse, savoir celle de la pension en sa faveur. Conformément au large pouvoir d'examen du juge en matière de droit de la famille (art. 107 al. 1 let. c CPC), la répartition des frais et dépens de première instance ne sera pas modifiée, nonobstant l'admission partielle de l'appel. c) L'appelant, qui succombe, assumera ses propres frais d'appel, arrêtés à 1'200 fr. (art. 63 al. 2 TFJC). Les frais judiciaires de deuxième instance de l’appelante, qui obtient partiellement gain de cause, doivent être répartis à raison d’un cinquième, savoir 240 fr., à sa charge, et à raison de quatre cinquièmes, soit 960 fr. (art. 106 al. 2 CPC et 63 al. 2 TFJC), à la charge de A.L.________. Celui-ci doit ainsi à l’appelante la somme de 240 fr. à titre de restitution partielle de l’avance de frais fournie par cette dernière (art. 111 al. 2 CPC). d) La charge des dépens est évaluée à 3'000 fr. pour chaque partie (art. 7 TDC [tarif des dépens en matière civile du 23 novembre 2010, RSV 270.11.6]), de sorte que, compte tenu de ce que les frais – comprenant les frais judiciaires et les dépens (art. 95 al. 1 CPC) – doivent être mis à la charge de B.L.________ à raison d’un cinquième et de A.L.________ à raison de quatre cinquièmes, celui-ci versera en définitive à son épouse la somme de 2'040 fr. à titre de dépens et de restitution d’avance de frais de deuxième instance (1'800 + 240).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