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1016 vom 8. Dezember 2014</w:t>
      </w:r>
    </w:p>
    <w:p>
      <w:r>
        <w:t>VD Tribunal cantonal, 2014-12-08, FR</w:t>
      </w:r>
    </w:p>
    <w:p>
      <w:r>
        <w:rPr>
          <w:b/>
        </w:rPr>
        <w:t xml:space="preserve">Quelle: </w:t>
      </w:r>
      <w:r>
        <w:t>https://mcp.opencaselaw.ch/entscheid/vd_findinfo_HC___2014___1016</w:t>
      </w:r>
    </w:p>
    <w:p>
      <w:r>
        <w:t>FR: VD_FINDINFO HC / 2014 / 1016 du 8 décembre 2014</w:t>
      </w:r>
    </w:p>
    <w:p>
      <w:r>
        <w:t>IT: VD_FINDINFO HC / 2014 / 1016 del 8 dicembre 2014</w:t>
      </w:r>
    </w:p>
    <w:p>
      <w:pPr>
        <w:pStyle w:val="Heading2"/>
      </w:pPr>
      <w:r>
        <w:t>Regeste</w:t>
      </w:r>
    </w:p>
    <w:p>
      <w:r>
        <w:t>DIVORCE, AUTORITÉ PARENTALE, RELATIONS PERSONNELLES, ENFANT, INTÉRÊT DE L'ENFANT, CURATELLE | 133 al. 3 CC, 133 CC, 308 al. 2 CC, 308 CC, 92 CPC</w:t>
      </w:r>
    </w:p>
    <w:p>
      <w:pPr>
        <w:pStyle w:val="Heading2"/>
      </w:pPr>
      <w:r>
        <w:t>Erwägungen</w:t>
      </w:r>
    </w:p>
    <w:p>
      <w:r>
        <w:rPr>
          <w:b/>
        </w:rPr>
        <w:t>E. 4</w:t>
      </w:r>
    </w:p>
    <w:p>
      <w:r>
        <w:t>a) L’appelant ne remet pas en cause, à ce stade du moins, l’attribution de l’autorité parentale à son ex-épouse. En revanche, se fondant sur les événements survenus dès la rentrée scolaire du 25 août 2014, soit la limitation qu’aurait apportée l’intimée aux communications avec ses enfants, il modifie sa prise de position adoptée dans son acte d’appel initial et soutient que ces éléments nouveaux justifient l’attribution en sa faveur de la garde de ses enfants. Selon lui, ces événements récents permettent d’admettre que la mère, qui a tenté de priver ses enfants de contact avec leur père, a ainsi démontré son inadéquation à élever les enfants dans une relation harmonieuse avec ce dernier, de sorte que ce transfert de droit de garde se justifie. b) Pour l’attribution de la garde, le bien de l’enfant prime la volonté des parents. Au nombre des critères essentiels pour l’attribution de la garde,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déjà la garde durant la procédure, ce critère jouit d’un poids particulier lorsque les capacités d’éducation et de soin des parents sont similaires (ATF 136 I 178 c. 5.3 ; ATF 117 II 353 c. 3 ; ATF 115 II 206 c. 4a ; ATF 115 II 317 c. 2 ; cf. aussi TF 5A_181/2008 du 25 avril 2008, FamPra.ch 4/2008 n. 104 p. 98 ; TF 5C.238/2005 du 2 novembre 2005, FamPra.ch 2006 n. 20 p. 193). c) En l’espèce, l’appelant ne motive quasiment pas sa prétention tendant à l’attribution en sa faveur de la garde des enfants. Il se contente d’invoquer, sans les préciser ni en détailler la portée, les événements survenus après la rentrée d’août 2014, dont on rappelle qu’il s’agissait d’un litige portant sur la nature et la fréquence de ses contacts avec les enfants lorsqu’il n’exerçait pas son droit de visite. Depuis lors, les parties ont transigé cette question et le problème semble avoir été provisoirement résolu. De toute manière, ces difficultés supplémentaires ne sont pas de nature à modifier la situation prise en compte par les premiers juges pour attribuer la garde à la mère. On sait que les parties sont perpétuellement en litige concernant leurs enfants et les faits nouveaux allégués par l’appelant s’inscrivent dans le même contexte. Avec les premiers juges, il y a lieu d’admettre que l’intérêt des enfants commande d’en maintenir la garde à leur mère, non seulement en raison des bonnes capacités éducatives de cette dernière mais également afin de ne pas bouleverser leur cadre de vie à Genève, qui apparaît bien leur convenir. On relèvera également qu’il serait paradoxal de priver la mère de son droit de garde, alors que l’autorité parentale sur ses enfants lui a été attribuée par les premiers juges et que cette décision n’est pas remise en cause dans le cadre de la procédure d’appel. Enfin, contrairement à l’appelant, qui n’est pas animé par la moindre volonté de favoriser le contact avec l’autre parent, l’intimée adopte une attitude plus constructive en ne mettant pas constamment en doute les capacités parentales de ce dernier, ce qui assure de meilleures conditions à l’exercice du droit de visite de l’autre parent et préserve en définitive l’intérêt des enfants. On peut à cet égard craindre que l’attribution de la garde au père n’engendre une situation de blocage total, celui-ci ayant déjà maintes fois annoncé qu’il n’envisageait pas un droit de visite usuel pour la mère. Le jugement doit dès lors être confirmé sur la question de l’attribution du droit de garde.</w:t>
      </w:r>
    </w:p>
    <w:p>
      <w:r>
        <w:rPr>
          <w:b/>
        </w:rPr>
        <w:t>E. 5</w:t>
      </w:r>
    </w:p>
    <w:p>
      <w:r>
        <w:t>a) L’appelant reproche en outre aux premiers juges d’avoir renoncé à instituer une curatelle éducative. Il rappelle que les différents intervenants ont tous préconisé une telle mesure et que les grandes tensions subsistant avec son ex-épouse nécessitent une assistance éducative et une surveillance des relations personnelles. b) Aux termes de l'art. 308 CC, lorsque les circonstances l'exigent, l'autorité de protection de l’enfant peut nommer à l'enfant un curateur qui assiste les père et mère de ses conseils et de son appui dans le soin de l'enfant (al. 1). Elle peut conférer au curateur certains pouvoirs tels que celui de représenter l’enfant pour faire valoir sa créance alimentaire et d’autres droits, ainsi que la surveillance des relations personnelles (al. 2). Le curateur n'a pas seulement un droit de regard et d'information. Il peut donner aux parents des recommandations et des directives sur l'éducation et agir directement, avec eux, sur l'enfant (Hegnauer, Droit suisse de la filiation, 4 e éd., Berne 1998, adaptation française par Meier, nn. 27.19 et 27.19a, pp. 188-189). La curatelle de l'art. 308 al. 1 CC doit être ordonnée lorsque, à défaut d’un tel appui, les parents ne peuvent faire face à leur tâche, sans toutefois que des mesures plus énergiques soient nécessaires (Meier/Stettler, Droit de la filiation, 5 e éd., 2014, n. 1262, p. 830). L’art. 308 CC s’inscrit dans le cadre général des mesures protectrices de l’enfant. L'institution d'une telle curatelle présuppose d'abord, comme toute mesure de protection (art. 307 al. 1 CC), que l'enfant coure un danger et que son développement soit menacé (TF 5A_839/2008 du 2 mars 2009 ; ATF 108 II 372 c. 1, JT 1984 I 612). Il ne s'agit toutefois pas d'un danger au sens où l'enfant serait directement menacé de subir de mauvais traitements. Il y a danger lorsque l'on doit sérieusement craindre, d'après les circonstances, que le bien-être corporel, intellectuel et moral de l'enfant ne soit compromis ; il n'est pas nécessaire que le mal soit déjà fait. Le danger qui justifie la désignation d'un curateur peut être lié à des causes aussi diverses que l'inexpérience, la maladie, l'absence ou l'indifférence des parents, des prédispositions ou une conduite nuisible de l'enfant, des parents ou de l'entourage (Meier/Stettler, op. cit., n. 1263, p. 831 ; Hegnauer, op. cit., n. 27.14, p. 186). La curatelle de surveillance de l’art. 308 al. 2 CC doit être ordonnée quand il existe un grave danger que des difficultés surgissent dans l’exercice du droit de visite de la part de l’époux auquel l’autorité parentale n’a pas été confiée (TF 5A_793/2010 du 14 novembre 2011 c. 5.1, rés. in RMA 2012 p. 106). Elle fait partie des modalités auxquelles peut être soumis le droit de visite. Le rôle du curateur est, dans ce cas, proche de celui d'un intermédiaire et d'un négociateur. Ce dernier n'a pas le pouvoir de décider lui-même de la réglementation du droit de visite, mais le juge peut lui confier le soin d'organiser les modalités pratiques de ce droit dans le cadre qu'il aura préalablement déterminé (TF 5A_670/2013 du 8 janvier 2014 c. 4.1; 5A_586/2012 du 12 décembre 2012 c. 4.2; 5A_101/2011 du</w:t>
      </w:r>
    </w:p>
    <w:p>
      <w:r>
        <w:rPr>
          <w:b/>
        </w:rPr>
        <w:t>E. 7</w:t>
      </w:r>
    </w:p>
    <w:p>
      <w:r>
        <w:t>Au vu de ce qui précède, l'appel doit être rejeté selon le mode procédural de l’art. 312 al. 1 CPC et le jugement entrepris confirmé. Les frais judiciaires de deuxième instance, arrêtés à 600 fr. (63 al. 3 TFJC [tarif des frais judiciaires civils du 28 septembre 2010, RSV 270.11.5]), seront mis à la charge de l'appelant, qui succombe (art. 106 al. 1 CPC). Il n’y a pas matière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