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1015 vom 23. Dezember 2014</w:t>
      </w:r>
    </w:p>
    <w:p>
      <w:r>
        <w:t>VD Tribunal cantonal, 2014-12-23, FR</w:t>
      </w:r>
    </w:p>
    <w:p>
      <w:r>
        <w:rPr>
          <w:b/>
        </w:rPr>
        <w:t xml:space="preserve">Quelle: </w:t>
      </w:r>
      <w:r>
        <w:t>https://mcp.opencaselaw.ch/entscheid/vd_findinfo_HC___2014___1015</w:t>
      </w:r>
    </w:p>
    <w:p>
      <w:r>
        <w:t>FR: VD_FINDINFO HC / 2014 / 1015 du 23 décembre 2014</w:t>
      </w:r>
    </w:p>
    <w:p>
      <w:r>
        <w:t>IT: VD_FINDINFO HC / 2014 / 1015 del 23 dicembre 2014</w:t>
      </w:r>
    </w:p>
    <w:p>
      <w:pPr>
        <w:pStyle w:val="Heading2"/>
      </w:pPr>
      <w:r>
        <w:t>Regeste</w:t>
      </w:r>
    </w:p>
    <w:p>
      <w:r>
        <w:t>PROTECTION DE L'UNION CONJUGALE, MODIFICATION DES CIRCONSTANCES | 179 CC</w:t>
      </w:r>
    </w:p>
    <w:p>
      <w:pPr>
        <w:pStyle w:val="Heading2"/>
      </w:pPr>
      <w:r>
        <w:t>Erwägungen</w:t>
      </w:r>
    </w:p>
    <w:p>
      <w:r>
        <w:rPr>
          <w:b/>
        </w:rPr>
        <w:t>E. 1</w:t>
      </w:r>
    </w:p>
    <w:p>
      <w:r>
        <w:t>L’art. 308 al. 1 let. b CPC (Code de procédure civile du 19 décembre 2011 ; RS 272) ouvre la voie de l’appel contre les décisions de première instance sur les mesures provisionnelles dans la mesure où, pour les affaires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3</w:t>
      </w:r>
    </w:p>
    <w:p>
      <w:r>
        <w:t>L’appelante reproche au premier juge de ne pas avoir considéré que la diminution de revenu mensuel qu’elle avait subie, de 285 fr., était notable et ainsi de ne pas être entré en matière sur sa requête.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Le caractère notable de la modification se détermine in concreto , en fonction de chaque cas particulier, en comparant les situations avant et après le changement de circonstances (cf. sous l'ancien droit: ATF 118 II 229 c. 3a p. 232). Lorsque le changement est minime, il se justifie de ne pas en tenir compte, sous peine de modifier la contribution d’entretien à chaque petit changement de circonstances (Juge délégué CACI du 24 avril 2014/207 ; Juge délégué CACI du 3 octobre 2014/524).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 En l’espèce, au moment de la signature de la convention de mesures protectrices de l’union conjugale, l’appelante avait deux activités lucratives et percevait à ce titre un montant mensuel de 2'624 fr. en moyenne (15'937 fr. en 2012 pour [...] + 15'556 fr. en 2013 pour [...] / 12 mois). Depuis la résiliation de son contrat de travail avec [...], elle a perçu des indemnités de chômage d’un montant mensuel moyen de 1'057 fr. 60 entre mai et septembre 2014, en plus de son salaire versé par [...] SA, d’un montant mensuel moyen de 1'281 fr. 35 pour la même période, soit un total mensuel moyen de 2'338 fr. 95. Elle a par conséquent subi une perte mensuelle de 285 fr. depuis la signature de l’accord. Il faut toutefois considérer qu’un tel changement est minime et résulte d’une moyenne peu significative faite sur une période de cinq mois. Il n’est en tout cas pas suffisant pour être considéré comme notable et justifier une modification de la contribution d’entretien convenue entre les parties fin 2013. Ce n’est pas le rôle du tribunal de réévaluer le montant de la contribution d’entretien, qui a été qui plus est fixée par accord entre les parties, à chaque fois qu’un poste des revenus ou charges des époux est très légèrement modifié.</w:t>
      </w:r>
    </w:p>
    <w:p>
      <w:r>
        <w:rPr>
          <w:b/>
        </w:rPr>
        <w:t>E. 4</w:t>
      </w:r>
    </w:p>
    <w:p>
      <w:r>
        <w:t>L’appelante soutient en outre que les revenus de l’intimé auraient augmenté depuis la signature de la convention de mesures protectrices de l’union conjugale. Dans sa requête de mesures protectrices de l’union conjugale, l’appelante estime les revenus de son époux à environ 6'000 fr. par mois. Or, le bulletin de salaire d’avril 2014 indique un revenu annuel brut de 80'382 fr., soit un montant mensuel de 6'183 francs. En outre, pour le mois en question, le revenu net de l’intimé s’est élevé à 5'226 fr. 95. Rien ne laisse penser que les revenus de l’intimé auraient augmenté depuis la signature de l’accord, ce qu’il a par ailleurs confirmé en audience. Le premier juge était ainsi fondé à considérer qu’aucune modification notable n’était intervenue dans la situation financière de l’intimé justifiant une entrée en matière. Au vu de ces éléments, il n’y a pas non plus lieu de donner suite à la réquisition de l’appelante, qui requiert la production par l’intimé de son certificat de salaire pour l’année 2013, de toutes éventuelles fiches de salaire ou décompte chômage pour les mois de janvier à juillet 2014 et ultérieurs, ainsi que des extraits de comptes pour les mois de janvier à juillet 2014 de l’ensemble de ses comptes, les éléments au dossier étant suffisants pour juger la cause.</w:t>
      </w:r>
    </w:p>
    <w:p>
      <w:r>
        <w:rPr>
          <w:b/>
        </w:rPr>
        <w:t>E. 5</w:t>
      </w:r>
    </w:p>
    <w:p>
      <w:r>
        <w:t>Il résulte de ce qui précède que l’appel, manifestement infondé, doit être rejeté selon le mode procédural de l’art. 312 al. 1 CPC et l’ordonnance entreprise confirmée. Dès lors que l’appel était d’emblée dépourvu de chances de succès, la demande d’assistance judiciaire présentée par l’appelante doit être rejetée (art. 117 let. b CPC ; cf. Juge délégué CACI du 23 mars 2012/149). Par conséquent, l’appelante, qui succombe (art. 106 al. 1 CPC), supportera les frais judiciaires de deuxième instance, arrêtés à 600 fr. (art. 63 al. 1 TFJC [tarif des frais judiciaires civils du 28 septembre 2010 ; RSV 270.11.5]). L’intimé n’ayant pas été invité à se déterminer sur l’appel (art. 312 al. 1 CPC), il n’y a pas lieu de lui allouer de dépens de deuxième instance. Par ces motifs, la Juge déléguée de la Cour d’appel civile du Tribunal cantonal, statuant à huis clos, en application de l'art. 312 al. 1 CPC, prononce : I. L’appel est rejeté. II. L’ordonnance est confirmée. III. La requête d’assistance judiciaire de l’appelante A.Q.________ est rejetée. IV. Les frais judiciaires de deuxième instance, arrêtés à 600 fr. (six cents francs), sont mis à la charge de l’appelante A.Q.________. V. L’arrêt est exécutoire. La Juge déléguée : Le greffier : Du L'arrêt qui précède, dont la rédaction a été approuvée à huis clos, est notifié en expédition complète, par l'envoi de photocopies, à : ‑ M. Laurent Fischer, avocat (pour A.Q.________), ‑ M. Alain Dubuis, avocat (pour B.Q.________).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