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1007 vom 7. November 2014</w:t>
      </w:r>
    </w:p>
    <w:p>
      <w:r>
        <w:t>VD Tribunal cantonal, 2014-11-07, FR</w:t>
      </w:r>
    </w:p>
    <w:p>
      <w:r>
        <w:rPr>
          <w:b/>
        </w:rPr>
        <w:t xml:space="preserve">Quelle: </w:t>
      </w:r>
      <w:r>
        <w:t>https://mcp.opencaselaw.ch/entscheid/vd_findinfo_HC___2014___1007</w:t>
      </w:r>
    </w:p>
    <w:p>
      <w:r>
        <w:t>FR: VD_FINDINFO HC / 2014 / 1007 du 7 novembre 2014</w:t>
      </w:r>
    </w:p>
    <w:p>
      <w:r>
        <w:t>IT: VD_FINDINFO HC / 2014 / 1007 del 7 novembre 2014</w:t>
      </w:r>
    </w:p>
    <w:p>
      <w:pPr>
        <w:pStyle w:val="Heading2"/>
      </w:pPr>
      <w:r>
        <w:t>Regeste</w:t>
      </w:r>
    </w:p>
    <w:p>
      <w:r>
        <w:t>PRESCRIPTION | 319 let. b ch. 2 CPC (CH)</w:t>
      </w:r>
    </w:p>
    <w:p>
      <w:pPr>
        <w:pStyle w:val="Heading2"/>
      </w:pPr>
      <w:r>
        <w:t>Erwägungen</w:t>
      </w:r>
    </w:p>
    <w:p>
      <w:r>
        <w:rPr>
          <w:b/>
        </w:rPr>
        <w:t>E. 1</w:t>
      </w:r>
    </w:p>
    <w:p>
      <w:r>
        <w:t>La décision entreprise refuse l’introduction d’une déclaration relative à la prescription. La Chambre des recours civile considère qu’il s’agit d’une ordonnance d’instruction au sens de l’art. 319 let. b CPC. Dès lors qu’elle prive la recourante de la faculté de bénéficier de la prescription, elle est susceptible de lui causer un préjudice difficilement réparable au sens du chiffre 2 de cette dispositon, de sorte que la voie du recours est ouverte.</w:t>
      </w:r>
    </w:p>
    <w:p>
      <w:r>
        <w:rPr>
          <w:b/>
        </w:rPr>
        <w:t>E. 2</w:t>
      </w:r>
    </w:p>
    <w:p>
      <w:r>
        <w:t>a) La recourante reproche au premier juge d’avoir refusé d’introduire en procédure sa déclaration au procès-verbal de l’audience du 24 septembre 2014 invoquant la prescription. Elle se fonde en particulier sur l’arrêt rendu par la Cour d’appel civile le 16 août 2013/347, en soutenant que la déclaration qu’elle a dictée au procès-verbal respecte l’art. 229 al. 3 CPC, selon lequel le tribunal admet des faits et moyens de preuve nouveaux jusqu’aux délibérations, applicable par analogie aux moyens de droit. b) L’exception de prescription doit être invoquée en procédure de la même manière que les faits (Leuenberger, in Sutter-Somm/Hasenböhle/ Leuenberger, Kommentar zur Schweizerischen Zivilprozessordnung, n. 14b ad art. 229 et les auteurs cités ; JT 2013 III 173). Ceux-ci doivent être allégués dans la demande ou la réponse (art. 221 al. 1 let. d et 22 al. 2 CPC). Seuls des faits nouveaux peuvent être admis à certaines conditions aux débats principaux (art. 229 CPC ; ATF 140 III 312 c. 6.3.2). Depuis l’entrée en vigueur, le 1 er janvier 2011, de l’art. 138 al. 1 CO (Code des obligations du 30 mars 1911 ; RS 220), selon lequel la prescription interrompue par l’effet d’une requête de conciliation, d’une action ou d’une exception recommence à courir lorsque la juridiction saisie clôt la procédure, l’accomplissement de la prescription ne peut plus intervenir en cours d’instance (Piotet, note in JT 2013 III 175) ; la prescription ne peut donc plus être considérée comme un fait nouveau justifiant une introduction dans le procès au-delà de l’échange des écritures. c) En l’espèce, l’échange des écritures a eu lieu sans que la recourante n’invoque la prescription. Elle ne pouvait dès lors pas l’invoquer ultérieurement. Au demeurant, on relèvera que l’art. 229 al. 3 CPC, sur lequel s’appuie la recourante, s’applique aux causes soumises à la maxime inquisitoire. Or la présente cause est soumise à la procédure ordinaire et suit par conséquent la maxime des débats, selon laquelle les parties exposent leurs allégations de fait dans leur demande respectivement dans leur réponse. Ainsi, par analogie, l’exception de prescription devait être invoquée à ce stade également. La recourante plaide par ailleurs en vain que sa déclaration au procès-verbal n’a fait l’objet d’aucune opposition de la part des autres parties. La dictée au procès-verbal ne correspond en effet pas à un mode d’allégation des faits et était de toute manière tardive comme exposé ci-dessus.</w:t>
      </w:r>
    </w:p>
    <w:p>
      <w:r>
        <w:rPr>
          <w:b/>
        </w:rPr>
        <w:t>E. 3</w:t>
      </w:r>
    </w:p>
    <w:p>
      <w:r>
        <w:t>Compte tenu de ce qui précède, le recours doit être rejeté et la décision attaquée confirmée. Les frais judiciaires de deuxième instance, arrêtés à 5’000 fr. (art. 69 al. 1 et 70 al. 2 TFJC [tarif des frais judiciaires civils du 28 septembre 2010 ; RSV 270.11.5]), sont mis à la charge de la recourante qui succombe (art. 106 al. 1 CPC). Il n’y a pas lieu à l’allocation de dépens, les intimés n’ayant pas été invités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5'000 fr. (cinq mille francs), sont mis à la charge de la recourante E.________SA. IV. L’arrêt motivé est exécutoire. Le président :              La greffière : Du 10 novembre 2014 Le dispositif de l'arrêt qui précède est communiqué par écrit aux intéressés. La greffière : Du L'arrêt qui précède, dont la rédaction a été approuvée à huis clos, est notifié en expédition complète, par l'envoi de photocopies, à : ‑ Me Daniel Pache (pour E.________SA), ‑ Me Xavier Rubli (pour S.________ et K.________), - Me Henri Baudraz (pour 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