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1003 vom 23. Dezember 2014</w:t>
      </w:r>
    </w:p>
    <w:p>
      <w:r>
        <w:t>VD Tribunal cantonal, 2014-12-23, FR</w:t>
      </w:r>
    </w:p>
    <w:p>
      <w:r>
        <w:rPr>
          <w:b/>
        </w:rPr>
        <w:t xml:space="preserve">Quelle: </w:t>
      </w:r>
      <w:r>
        <w:t>https://mcp.opencaselaw.ch/entscheid/vd_findinfo_HC___2014___1003</w:t>
      </w:r>
    </w:p>
    <w:p>
      <w:r>
        <w:t>FR: VD_FINDINFO HC / 2014 / 1003 du 23 décembre 2014</w:t>
      </w:r>
    </w:p>
    <w:p>
      <w:r>
        <w:t>IT: VD_FINDINFO HC / 2014 / 1003 del 23 dicembre 2014</w:t>
      </w:r>
    </w:p>
    <w:p>
      <w:pPr>
        <w:pStyle w:val="Heading2"/>
      </w:pPr>
      <w:r>
        <w:t>Regeste</w:t>
      </w:r>
    </w:p>
    <w:p>
      <w:r>
        <w:t>EXPULSION DE LOCATAIRE, CAS CLAIR | 257d CO, 257 CPC (CH)</w:t>
      </w:r>
    </w:p>
    <w:p>
      <w:pPr>
        <w:pStyle w:val="Heading2"/>
      </w:pPr>
      <w:r>
        <w:t>Erwägungen</w:t>
      </w:r>
    </w:p>
    <w:p>
      <w:r>
        <w:rPr>
          <w:b/>
        </w:rPr>
        <w:t>E. 1</w:t>
      </w:r>
    </w:p>
    <w:p>
      <w:r>
        <w:t>a) L’appel est recevable contre les décisions finales de première instance (art. 308 al. 1 let. a CPC), dans les causes patrimoniales où la valeur litigieuse au dernier état des conclusions est de 10’000 fr. au moins (art. 308 al. 2 CPC). L’art. 319 let. a CPC ouvre la voie subsidiaire du recours contre les décisions finales qui ne peuvent pas faire l’objet d’un appel. Le litige porte sur le bien-fondé d'une ordonnance d'expulsion rendue pour défaut de paiement de frais accessoires échus.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calculée conformément à l'art. 92 al. 1 CPC, la valeur litigieuse excède 10'000 fr., si bien que c'est la voie de l'appel qui est ouverte (art. 308 al. 2 CPC). b) L’ordonnance ayant été rendue en procédure sommaire, le délai d’appel est de dix jours à compter de la notification de la décision motivée (art. 314 al. 1 CPC). Aux termes de l’art. 138 al. 3 let. a CPC, l’acte est réputé notifié, en cas d’envoi recommandé, lorsque celui-ci n’a pas été retiré, à l’expiration d’un délai de sept jours à compter de l’échec de la remise, si le destinataire devait s’attendre à recevoir la notification. En l’espèce, l’ordonnance est réputée notifiée à l’expiration du délai de garde de sept jours, soit le 14 octobre 2014. Remis à la poste le 24 octobre 2014 (art. 143 al. 1 CPC), l’appel est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2010, n. 2399, p. 435). L'autorité d'appel applique le droit d'office : elle n'est pas liée par les motifs invoqués par les parties ou par le tribunal de première instance. Son pouvoir d'examen est plein et entier (Hohl, op. cit., n. 2396, p. 435; Spühler, Commentaire bâlois, n. 1 ad art. 311 ZPO, qui parle de "vollkommenes Rechtsmittel").</w:t>
      </w:r>
    </w:p>
    <w:p>
      <w:r>
        <w:rPr>
          <w:b/>
        </w:rPr>
        <w:t>E. 3</w:t>
      </w:r>
    </w:p>
    <w:p>
      <w:r>
        <w:t>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 2.1.1, 620 c. 5.1.1).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 5.1.1 et c. 6.2). Jurisprudence et doctrine admettent que l'expulsion du locataire puisse être requise et prononcée par voie de procédure sommaire lorsque les deux conditions cumulatives posées à l'art. 257 al. 1 CPC sont réalisées ; l'expulsion est même l'un des exemples d'application de la procédure du cas clair les plus fréquemment cités par la doctrine (TF 4A_252/2014 du 28 mai 2014 c. 3.2.1 ; TF 4A_87/2012 du 10 avril 2012 c. 3.1.1 et les références).</w:t>
      </w:r>
    </w:p>
    <w:p>
      <w:r>
        <w:rPr>
          <w:b/>
        </w:rPr>
        <w:t>E. 4</w:t>
      </w:r>
    </w:p>
    <w:p>
      <w:r>
        <w:t>a) L’appelant ne conteste pas les faits retenus par le premier juge, en particulier le fait que les montants de 2'146 fr. et de 150 fr., dus à titre d’arriéré de loyers respectivement pour l’appartement et la place de parc extérieure, n’avaient pas été entièrement payés à l’échéance du délai comminatoire de trente jours fixé par courrier recommandé du 7 avril 2014 à chaque locataire. Il ne soutient pas, malgré le défaut de retrait de ses plis recommandés, avoir ignoré qu’une procédure tendant à l’expulsion des locaux loués avait été introduite par l’intimée. Il indique cependant que l’arriéré aurait entre-temps été acquitté par « le social de Nyon », qu’il ne s’est pas présenté devant la Juge de paix parce qu’il était en vacances [...], qu’il souhaite ne pas être expulsé de l’appartement, dans lequel il accueille sa fille [...] tous les week-ends et qu’il continuera à payer correctement le loyer.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 4), cela même si l’arriéré avait finalement été payé (TF 27 février 1997, Cahiers du bail [CdB] 3/97 pp. 65ss). A cet égard, des motifs humanitaires n’entrent pas en ligne de compte dans l’examen des conditions de l’art. 257d CO, dès lors qu’ils ne sont pas pris en considération par les règles de droit fédéral sur le bail à loyer (TF 27 février 1997, précité c. 2b, p. 68 ; TF 4A_252/2014 du 28 mai 2014 c. 4.2 ; TF 4C_74/2006 du 12 mai 2006 c. 3.2.1 ; Lachat, Le bail à loyer, 2 e éd.,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Cette jurisprudence garde sa pertinence sous l’empire du CPC (CACI 27 mars 2014/160 et références). c) En l’espèce, l’appelant ne conteste pas que les conditions posées par l’art. 257d CO étaient réalisées. Il ne conteste pas avoir eu connaissance, par communication sous pli simple, de la sommation du 7 avril 2014 et de la résiliation du 26 mai 2014, ni avoir été valablement convoqué à l’audience du 26 septembre 2014. Il ne conteste pas non plus que l’entier de l’arriéré de loyer n’avait pas été payé à l’échéance du délai comminatoire fixé par lettre du 7 avril 2014. La bailleresse était dès lors en droit, le 26 mai 2014, de résilier les baux pour le 30 juin 2014, conformément à l’art. 257d al. 2 CO, et c’est à raison que le premier juge a constaté la validité du congé et ordonné les mesures d’exécution sollicitées (art. 236 et 237 CPC). Cela étant, rien ne permet de remettre en cause l’ordonnance entreprise.</w:t>
      </w:r>
    </w:p>
    <w:p>
      <w:r>
        <w:rPr>
          <w:b/>
        </w:rPr>
        <w:t>E. 5</w:t>
      </w:r>
    </w:p>
    <w:p>
      <w:r>
        <w:t>Au vu de ce qui précède, l’appel doit être rejeté selon le mode procédural de l’art. 312 al. 1 CPC et l’ordonnance entreprise confirmée. Le délai de libération des locaux étant échu du fait de l’effet suspensif accordé à l’appel, il convient de renvoyer la cause au premier juge pour qu’il fixe à l’appelant un nouveau délai pour libérer les locaux. Les frais judiciaires de deuxième instance, arrêtés à 200 fr. (art. 62 al. 3 et 69 al. 1 TFJC [tarif des frais judiciaires en matière civile du 28 septembre 2010 ; RSV 270.11.5]), seront mis à la charge de l’appelant, qui succombe (art. 106 al. 1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