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10 vom 17. Dezember 2013</w:t>
      </w:r>
    </w:p>
    <w:p>
      <w:r>
        <w:t>VD Tribunal cantonal, 2013-12-17, FR</w:t>
      </w:r>
    </w:p>
    <w:p>
      <w:r>
        <w:rPr>
          <w:b/>
        </w:rPr>
        <w:t xml:space="preserve">Quelle: </w:t>
      </w:r>
      <w:r>
        <w:t>https://mcp.opencaselaw.ch/entscheid/vd_findinfo_HC___2014___10</w:t>
      </w:r>
    </w:p>
    <w:p>
      <w:r>
        <w:t>FR: VD_FINDINFO HC / 2014 / 10 du 17 décembre 2013</w:t>
      </w:r>
    </w:p>
    <w:p>
      <w:r>
        <w:t>IT: VD_FINDINFO HC / 2014 / 10 del 17 dicembre 2013</w:t>
      </w:r>
    </w:p>
    <w:p>
      <w:pPr>
        <w:pStyle w:val="Heading2"/>
      </w:pPr>
      <w:r>
        <w:t>Regeste</w:t>
      </w:r>
    </w:p>
    <w:p>
      <w:r>
        <w:t>DÉCISION D'IRRECEVABILITÉ, INTÉRÊT ACTUEL | 60 CPC (CH)</w:t>
      </w:r>
    </w:p>
    <w:p>
      <w:pPr>
        <w:pStyle w:val="Heading2"/>
      </w:pPr>
      <w:r>
        <w:t>Erwägungen</w:t>
      </w:r>
    </w:p>
    <w:p>
      <w:r>
        <w:rPr>
          <w:b/>
        </w:rPr>
        <w:t>E. 1</w:t>
      </w:r>
    </w:p>
    <w:p>
      <w:r>
        <w:t>a) L’appel est recevable contre les décisions finales de première instance (art. 308 al. 1 let. a CPC [code de procédure civile du 19 décembre 2008 ; RS 272]) au sens de l’art. 236 CPC, dans les causes patrimoniales dont la valeur litigieuse dépasse 10’000 fr. (art. 308 al. 2 CPC). Il est introduit auprès de l’instance d’appel dans les trente jours à compter de la notification de la décision motivée ou de la notification postérieure de la motivation (art. 311 al. 1 CPC). En cas de litige relatif à une prolongation du bail, la valeur litigieuse correspond à la totalité du loyer et des charges qui seraient dus entre le moment où le Tribunal a statué et l’échéance de la prolongation de bail demandée (TF 4A_552/2009 du 1 er février 2010 c. 1.1 et les arrêts cités). b) En l’espèce, l’appelante a conclu à une prolongation de bail de deux ans. Compte tenu du loyer s’élevant à 1'150 fr., charges comprises, la valeur litigieuse est manifestement supérieure à 10'000 francs. L’appel, dirigé contre une décision finale de première instance (CACI 16 août 2011/197 c. 1), est dès lors en principe recevable au regard de l’art. 308 al. 1 let. a CPC.</w:t>
      </w:r>
    </w:p>
    <w:p>
      <w:r>
        <w:rPr>
          <w:b/>
        </w:rPr>
        <w:t>E. 2</w:t>
      </w:r>
    </w:p>
    <w:p>
      <w:r>
        <w:t>a) Aux termes de l’art. 59 al. 1 CPC, le tribunal n’entre en matière que sur les demandes et les requêtes qui satisfont aux conditions de recevabilité de l’action. Qu’il s’agisse d’une demande (art. 59 al. 2 let. a CPC) ou d’un recours, l'intéressé doit démontrer qu'il a un intérêt juridique actuel à voir le juge statuer sur ses conclusions (Bohnet, CPC commenté, Bâle 2011, n. 89 ad art. 59 CPC). Comme toute condition de recevabilité, l'intérêt doit exister au moment du jugement (Bohnet, CPC commenté, op. cit., n. 92 ad art. 59 CPC et n. 13 ad art. 60 CPC et les références de jurisprudence et de doctrine citées ; Hohl, Procédure civile, tome I, Berne 2001, n. 318, p. 78). Cela signifie que la qualité pour recourir ou appeler suppose un intérêt actuel et pratique à obtenir l’annulation de la décision attaquée (TF 1B_111/2010 du 7 mai 2010 ; ATF 135 I 79 c. 1.1 ; ATF 128 II 34 c. 1b). L'absence d'un tel intérêt – qui doit être constatée d'office (art. 60 CPC) – entraîne l'irrecevabilité du recours (Freiburghaus/Afheldt, ZPO Kommentar, 2 e éd., Zürich/Basel/Genf 2013, nn. 10 et 11 ad art. 321 CPC; cf. Corboz, Commentaire de la LTF [loi sur le Tribunal fédéral; RS 173.110], n. 14 ad art. 76 LTF et les réf. citées). b) En l’espèce, il est constant que l’appelante a quitté depuis plusieurs mois le logement loué. Elle n’a donc pas d’intérêt actuel et pratique à l’admission de son appel, qui tend à ce que l’autorité de conciliation entre en matière sur la requête de conciliation dans laquelle elle a conclu à l’octroi d’une seconde prolongation du bail de l’appartement qu’elle louait à l’intimé. On ne voit en effet pas comment l’appelante pourrait, dans le cadre de prétentions que l’intimé ferait valoir à son encontre, se baser sur des prétentions tendant à une seconde prolongation du bail qui, par proposition du jugement du 1 er octobre 2012 entrée en force, avait été prolongé jusqu’au 30 septembre 2013.</w:t>
      </w:r>
    </w:p>
    <w:p>
      <w:r>
        <w:rPr>
          <w:b/>
        </w:rPr>
        <w:t>E. 3</w:t>
      </w:r>
    </w:p>
    <w:p>
      <w:r>
        <w:t>Au vu de ce qui précède, l’appel de N.________ doit être déclaré irrecevable.</w:t>
      </w:r>
    </w:p>
    <w:p>
      <w:r>
        <w:rPr>
          <w:b/>
        </w:rPr>
        <w:t>E. 4</w:t>
      </w:r>
    </w:p>
    <w:p>
      <w:r>
        <w:t>Dès lors que l’appelante, au bénéfice de l’assistance judiciaire, succombe, son conseil d’office sera rémunéré équitablement par l’Etat (art. 122 al. 1 let. a CPC) et les frais judiciaires de deuxième instance, arrêtés à 876 fr. (art. 62 al. 1 TFJC [tarif du 28 septembre 2010 des frais judiciaires civils ; RSV 270.11.5]), seront laissés à la charge de l’Etat (art. 122 al. 1 let. b CPC). Il n’y a pas lieu d’allouer de dépens (art. 122 al. 1 let. d CPC), dès lors que l’intimé n’a pas procédé avec l’assistance d’un mandataire professionnel et n’a donc pas encouru de frais pour la procédure de deuxième instance (art. 95 al. 3 CPC). Compte tenu de la liste des opérations transmises par Me Sébastien Pedroli, l’indemnité d’office pour la procédure de deuxième instance qui doit lui être allouée sera arrêtée à 1'320 fr. 85, comprenant un défraiement de 1'200 fr., des débours par 23 fr. et la TVA sur ces montants par 97 fr. 85 (art. 122 al. 2 CPC ; art. 2 al. 1 RAJ [Règlement du 7 décembre 2010 sur l’assistance judiciaire en matière civile ; RSV 211.02.3]). Dans la mesure de l’art. 123 CPC, la bénéficiaire de l’assistance judiciaire est tenue au remboursement des frais judiciaires et de l’indemnité à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