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99 vom 13. Februar 2013</w:t>
      </w:r>
    </w:p>
    <w:p>
      <w:r>
        <w:t>VD Tribunal cantonal, 2013-02-13, FR</w:t>
      </w:r>
    </w:p>
    <w:p>
      <w:r>
        <w:rPr>
          <w:b/>
        </w:rPr>
        <w:t xml:space="preserve">Quelle: </w:t>
      </w:r>
      <w:r>
        <w:t>https://mcp.opencaselaw.ch/entscheid/vd_findinfo_HC___2013___99</w:t>
      </w:r>
    </w:p>
    <w:p>
      <w:r>
        <w:t>FR: VD_FINDINFO HC / 2013 / 99 du 13 février 2013</w:t>
      </w:r>
    </w:p>
    <w:p>
      <w:r>
        <w:t>IT: VD_FINDINFO HC / 2013 / 99 del 13 febbraio 2013</w:t>
      </w:r>
    </w:p>
    <w:p>
      <w:pPr>
        <w:pStyle w:val="Heading2"/>
      </w:pPr>
      <w:r>
        <w:t>Regeste</w:t>
      </w:r>
    </w:p>
    <w:p>
      <w:r>
        <w:t>PARTIE À LA PROCÉDURE, FAUSSE INDICATION, CONDITION DE RECEVABILITÉ, RECTIFICATION{EN GÉNÉRAL} | 132 CPC (CH), 59 CPC (CH)</w:t>
      </w:r>
    </w:p>
    <w:p>
      <w:pPr>
        <w:pStyle w:val="Heading2"/>
      </w:pPr>
      <w:r>
        <w:t>Erwägungen</w:t>
      </w:r>
    </w:p>
    <w:p>
      <w:r>
        <w:rPr>
          <w:b/>
        </w:rPr>
        <w:t>E. 1</w:t>
      </w:r>
    </w:p>
    <w:p>
      <w:r>
        <w:t>a) L'appel est recevable contre les décisions finales de première instance au sens de l'art. 236 CPC (Code de procédure civile du 19 décembre 2008; RS 272), dans les causes patrimoniales dont la valeur litigieuse est supérieure à 10'000 francs (art. 308 al. 1 let. a et al. 2 CPC). Le délai pour interjeter appel est de trente jours (art. 311 al. 1 CPC). b) En l'espèce, l'appel est dirigé contre une décision d'irrecevabilité mettant fin à l'instance ouverte par l'appelante contre l'intimée, qui constitue une décision finale au sens de l'art. 236 CPC (Tappy, CPC commenté, Bâle 2011, n. 3 ad art. 236 CPC). c) En cas de litige relatif à une prolongation du bail, la valeur litigieuse correspond à la totalité du loyer et des charges qui seraient dus entre le moment où le Tribunal a statué et l'échéance de la prolongation de bail demandée (TF 4A_552/2009 du 1 er février 2010 c. 1.1 et les arrêts cités). En l'espèce, calculé conformément à l'art. 92 al. 1 CPC et au principe qui vient d'être exposé, la valeur litigieuse excède 10'000 fr., si bien que la voie de l'appel est ouverte (art. 308 al. 2 CPC). d) La décision entreprise a été notifiée aux parties le 19 novembre 2012. L'appel déposé le 18 décembre 2012 a été formé en temps utile par la locataire qui y a un intérêt digne de protection (art. 59 al. 2 let. a CPC), de sorte qu'il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l'appelante a produit, outre la décision attaquée et l'enveloppe ayant contenu cette dernière, deux correspondances qui font partie intégrante du dossier de première instance. Ainsi, la recevabilité de la production de ces pièces n'a pas à être examinée.</w:t>
      </w:r>
    </w:p>
    <w:p>
      <w:r>
        <w:rPr>
          <w:b/>
        </w:rPr>
        <w:t>E. 3</w:t>
      </w:r>
    </w:p>
    <w:p>
      <w:r>
        <w:t>a) L'autorisation de procéder contient notamment les noms et adresses des parties et, le cas échéant, de leurs représentants (art. 209 al. 2 let. a CPC), ainsi que les conclusions du demandeur, la description de l'objet du litige et les conclusions reconventionnelles éventuelles (art. 209 al. 2 let. b CPC). L'autorisation de procéder est l'acte délivré par l'autorité de conciliation qui permet à l'intéressé de débuter la procédure au fond lorsqu'une tentative de conciliation est exigée par la loi (Bohnet, CPC commenté, n. 4 ad art. 209 CPC). L'autorisation de procéder doit porter sur le même objet du litige et les mêmes parties principales que la demande (Bohnet, CPC commenté, n. 65 ad art. 59 CPC). Elle représente une condition de recevabilité de la demande. Faute d'autorisation valable, le tribunal doit d'office déclarer la demande irrecevable (Bohnet, CPC commenté, n. 4 ad art. 209 CPC et n. 66 ad art. 59 CPC). En l'espèce, il n'est pas contesté que l'autorisation de procéder a été délivrée à l'appelante pour procéder à l'encontre de T.________ SA, alors que la demande a été déposée contre O.________SA. Sous cet angle, c'est à juste titre que la demande a été déclarée irrecevable, faute d'autorisation de procéder correspondante. b) L'appelante fait toutefois valoir que la désignation de O.________SA dans la demande relève d'une erreur rédactionnelle qui s'est glissée dans sa demande du 20 septembre 2012 adressée au Tribunal des baux et que celle-ci constitue une désignation inexacte qui peut et doit être rectifiée au sens de l'art. 132 CPC. Selon l'appelante, il n'existe aucun risque de confusion dans la mesure où tant l'objet du procès que les conclusions vont dans le sens de la prolongation des baux commerciaux la liant à T.________ SA. Selon l'art. 132 CPC, le tribunal fixe un délai pour la rectification des vices de formes telle l'absence de signature ou de procuration. Alors que la qualité pour agir concerne la titularité du droit d'action, la désignation inexacte relève du vice de forme. Elle ne concerne que les erreurs rédactionnelles (Bohnet, op. cit., n. 103 ad art. 59 CPC). La désignation incomplète ou inexacte d'une partie qui ne laisse place à aucun doute peut ainsi être rectifiée (Bohnet, op. cit., n. 24 ad art. 132 CPC). L'inexactitude purement formelle peut être rectifiée lorsqu'il n'existe dans l'esprit du tribunal aucun doute raisonnable sur l'identité de cette partie, notamment lorsque son identité résulte de l'objet du litige (Hohl, Procédure civile, tome II, 2 e éd., ch.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En revanche, celui qui se trompe sur la titularité en vertu du droit matériel ne peut rectifier la désignation de sa partie adverse (Schwander, in Sutter-Somm/Hasenböhler/Leuenberger, ZPO-Komm., 2 e éd., n. 14 ad art. 83 CPC). En l'espèce, on ne saurait parler d'erreur de plume ou d'erreur purement rédactionnelle. La demande est sans ambiguïté dirigée contre O.________SA, dont la raison ne peut d'aucune manière être confondue avec celle de T.________ SA. L'appelante a d'ailleurs expressément précisé que la défenderesse était une société anonyme dont le siège était à Wallisellen, en produisant un extrait du Registre du commerce concernant O.________SA. A la lecture de la demande, il n'était ainsi pas possible de savoir avec le degré de certitude requis par la jurisprudence que l'appelante entendait agir contre T.________ SA. Elle a en réalité dirigé son action contre la représentante du bailleur et non contre le bailleur lui-même. Une telle erreur relève du droit matériel et ne peut être tenue pour une simple erreur rédactionnelle. Le vice est irrémédiable et ne saurait être guéri en vertu de l'art. 132 CPC. Cela étant, l'appel doit être rejeté dans la procédure de l'art. 312 al. 1 CPC et la décision attaquée confirmée. Les frais judiciaires de deuxième instance, arrêtés à 1'750 fr. (art. 62 al. 1 TFJC [tarif du 28 septembre 2010 des frais judiciaires civils; RSV 270.11.5]), seront mis à la charge de l'appelante, qui succombe (art. 106 al. 1 CPC), et seront compensés avec l'avance de frais fournie (art. 111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