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94 vom 23. Januar 2013</w:t>
      </w:r>
    </w:p>
    <w:p>
      <w:r>
        <w:t>VD Tribunal cantonal, 2013-01-23, FR</w:t>
      </w:r>
    </w:p>
    <w:p>
      <w:r>
        <w:rPr>
          <w:b/>
        </w:rPr>
        <w:t xml:space="preserve">Quelle: </w:t>
      </w:r>
      <w:r>
        <w:t>https://mcp.opencaselaw.ch/entscheid/vd_findinfo_HC___2013___94</w:t>
      </w:r>
    </w:p>
    <w:p>
      <w:r>
        <w:t>FR: VD_FINDINFO HC / 2013 / 94 du 23 janvier 2013</w:t>
      </w:r>
    </w:p>
    <w:p>
      <w:r>
        <w:t>IT: VD_FINDINFO HC / 2013 / 94 del 23 gennaio 2013</w:t>
      </w:r>
    </w:p>
    <w:p>
      <w:pPr>
        <w:pStyle w:val="Heading2"/>
      </w:pPr>
      <w:r>
        <w:t>Regeste</w:t>
      </w:r>
    </w:p>
    <w:p>
      <w:r>
        <w:t>SUSPENSION DE LA PROCÉDURE | 126 CPC (CH)</w:t>
      </w:r>
    </w:p>
    <w:p>
      <w:pPr>
        <w:pStyle w:val="Heading2"/>
      </w:pPr>
      <w:r>
        <w:t>Erwägungen</w:t>
      </w:r>
    </w:p>
    <w:p>
      <w:r>
        <w:rPr>
          <w:b/>
        </w:rPr>
        <w:t>E. 1</w:t>
      </w:r>
    </w:p>
    <w:p>
      <w:r>
        <w:t>L'ordonnance de suspension peut faire l'objet d'un recours en vertu de l'art. 126 al. 2 CPC (Code de procédure civile du 19 décembre 2010; RS 272), de sorte que la voie du recours de l'art. 319 let. b ch. 1 CPC est ouverte. Les ordonnances de suspension devant être considérées comme des décisions d'instruction (Jeandin, CPC commenté, Bâle 2011, n. 18 ad art. 319 CPC, p. 1273; CREC 9 mars 2012/97), le recours, écrit et motivé, doit être introduit auprès de l'instance de recours dans un délai de dix jours (art. 321 al. 1 et 2 CPC). En l'espèce, formé en temps utile par une partie qui y a un intérêt digne de protection (art. 59 al. 2 let. a CPC), le présent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 ordnung,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comme pour l'art. 97 al. 1 LTF (loi du 17 juin 2005 sur le Tribunal fédéral; RS 173.110), ce grief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invoque une violation de l'art. 126 CPC. Elle soutient que l'expertise qu'elle a demandée dans le cadre du procès civil, notamment concernant l'examen du respect des règles de l'art et de l'adéquation des montants facturés, permettra au juge pénal de définir s'il y a eu ou non lésions corporelles graves au sens de l'art. 122 CP (Code pénal suisse du 21 décembre 1937; RS 311.0) et que la suspension de la procédure pénale apparaît bien plus opportune dès lors que celle-ci n'en est qu'à ses balbutiements, qu'elle en ignorait même l'existence, qu'elle n'a encore jamais été entendue à ce sujet et que l'on ne sait même pas si le Ministère public zurichois donnera suite à cette plainte. La recourante considère que la suspension compliquerait et retarderait inutilement la procédure civile, car cela contraindrait le juge pénal à mettre en œuvre une expertise afin de savoir si elle doit être rendue coupable de lésions corporelles graves, sachant de plus que cette expertise ne porterait pas sur tous les points nécessaires à chiffrer le dommage des parties comme cela serait le cas si le juge civil s'en chargeait. b) Selon l’art. 126 al. 1 CPC, le tribunal peut ordonner la suspension de la procédure si des motifs d’opportunité le commandent. La procédure peut notamment être suspendue lorsque la décision dépend du sort d’un autre procès. Cette suspension doit correspondre à un vrai besoin (FF 6841, Message relatif au CPC du 28 juin 2006, spéc. p. 6916; Haldy, CPC commenté, Bâle 2011, n. 5 ss ad art. 126 CPC, p. 512). La doctrine relève qu’en l’absence de précision du texte légal, il faut considérer que la suspension peut intervenir d’office ou sur requête en tout état de cause, savoir dès la conciliation et jusque et y compris en instance de recours (Haldy, op. cit., n. 8 ad art. 126 CPC, p. 512), et quelle que soit la procédure applicable (Staehelin, Kommentar zur Schweizerischen Zivilprozessordnung, Sutter-Somm/Hasenböhler/Leuenberger Hrsg, 2010, n. 4 ad art. 126 CPC, p. 853). La suspension doit en outre être compatible avec le principe constitutionnel de célérité (art. 29 al. 1 Cst.; ATF 135 III 127 c. 3.4, JT 2011 II 402; Haldy, op. cit., n. 6 ad art. 126 CPC, p. 512). Certains auteurs, se référant à la jurisprudence susmentionnée, considèrent que la suspension doit être exceptionnelle, qu’en cas de doute, le principe de célérité doit l’emporter sur les intérêts contraires (Staehelin, loc. cit.)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Schweizerische Zivilprozessordnung, Kommentar, Brunner/Gasser/Schwander Hrsg, 2011, n. 17 ad art. 126 CPC, p. 715). Bornatico considère que l’examen de l’opportunité d’une suspension suppose une certaine retenue et la prise en compte non seulement du droit de saisine et du principe de célérité, mais également du type de procédure en question (Bornatico, Basler Kommentar, Schweizerische Zivilprozessordnung, 2010, n. 10 ad art. 126 CPC, p. 635). La suspension de la procédure peut être de durée déterminée. Dans ce cas elle prend fin automatiquement avec l’écoulement de la date qui y est prévue. Elle peut être aussi de durée indéterminée, ce qui a pour conséquence qu’elle ne peut prendre fin que par une décision (Kaufmann, op. cit., n. 13 ad art. 126 CPC, p. 715; Staehelin, op. cit., n. 6 ad art. 126 CPC, p. 854). Une suspension « jusqu’à droit connu sur une procédure » doit être considérée comme étant de durée indéterminée car le terme n’est alors pas certain pour les parties et ne leur est pas sans autre connu (Staehelin, loc. cit.). c) En l’espèce, la suspension de la cause ne se justifie pas pour plusieurs motifs. En premier lieu, il ne résulte pas du dossier qu’une instruction pénale est véritablement diligentée par le Ministère public zurichois et qu’une audition de la plaignante ou de la prévenue a été fixée, alors même que l’intimée a déposé plainte il y a déjà huit mois. Il n’est donc pas exclu qu’une ordonnance de classement soit rendue par le Parquet zurichois. Deuxièmement, il n'apparaît pas qu’une instance pénale pourrait apporter sur le plan probatoire des éléments décisifs en ce qui concerne l'examen de l'objet du litige civil. Les parties s’accordent d’ailleurs à considérer qu’une expertise portant sur le respect des règles de l’art, ce qui inclut le choix du traitement, devra de toute façon être réalisée. Or, il s’agit d’un acte d’instruction que le juge civil peut parfaitement ordonner. Force est ainsi de constater que le litige civil est en mesure de progresser sans délai, par un éventuel second échange d’écritures et la tenue d’une audience de premières plaidoiries qui permettra de déterminer à bref délai les mesures probatoires nécessaires. A l’inverse, la procédure pénale ne comporte aucune opération et est susceptible de retarder le litige civil pour une durée indéterminée, ce qui n'est pas compatible avec le principe de célérité. Du reste, dans son ordonnance, le premier juge n’a pas indiqué si la procédure civile était suspendue pour une durée déterminée ou jusqu'à droit connu sur le sort de l’action pénale, cette dernière hypothèse pouvant la retarder considérablement. La suspension de cause n'était par conséquent pas justifiée.</w:t>
      </w:r>
    </w:p>
    <w:p>
      <w:r>
        <w:rPr>
          <w:b/>
        </w:rPr>
        <w:t>E. 4</w:t>
      </w:r>
    </w:p>
    <w:p>
      <w:r>
        <w:t>Pour le surplus, il n'y a pas lieu d'examiner le grief de la recourante portant sur une constatation manifestement inexacte des faits, dès lors que l'intimée admet dans sa réponse que la plainte pénale pour lésions corporelles graves a été déposée auprès du Ministère public zurichois le 23 mai 2012 et non le 23 mai 2011 comme retenu erronément par le premier juge.</w:t>
      </w:r>
    </w:p>
    <w:p>
      <w:r>
        <w:rPr>
          <w:b/>
        </w:rPr>
        <w:t>E. 5</w:t>
      </w:r>
    </w:p>
    <w:p>
      <w:r>
        <w:t>a) Il s'ensuit que le dispositif du jugement entrepris doit être modifié en ce sens que la requête de suspension de cause déposée le 28 septembre 2012 par Z.________ doit être rejetée (I), que les frais de justice de première instance, arrêtés à 900 fr., sont mis à la charge de la requérante et compensés avec l'avance de frais versée (II) et que la requérante est la débitrice de L.________ de la somme de 1'000 fr. à titre de dépens (III). Le chiffre IV du dispositif est supprimé. Il ne convient pas d'impartir un délai à la recourante pour déposer sa réplique comme elle le souhaite. En effet, en procédure simplifiée, le tribunal peut (mais ne doit pas) ordonner un deuxième échange d'écritures (art. 246 al. 2 CPC). Il appartiendra au premier juge d'examiner cette requête. b) Les frais judiciaires de deuxième instance sont arrêtés à 500 fr. (art. 69 al. 1 TFJC [tarif des frais judiciaires civils du 28 septembre 2010; RSV 270.11.5]) et mis à la charge de l'intimée, qui succombe (art. 106 al. 1 CPC). L'intimée doit verser à la recourante la somme de 1'700 fr. à titre de dépens et de restitution d'avance de frais de deuxième instance (art. 8 al. 1 TDC [tarif du 23 novembre 2010 des dépens en matière civile; RSV 270.11.6]). Par ces motifs, la Chambre des recours civile du Tribunal cantonal, statuant à huis clos, prononce : I. Le recours est admis. II. Le jugement est modifié comme suit aux chiffres I à III de son dispositif, le chiffre IV étant supprimé : I. rejette la requête de suspension de cause déposée le 28 septembre 2012 par Z.________ dans la cause qui l'oppose à L.________; II. met les frais de justice, arrêtés à 900 fr. (neuf cents francs), à la charge de Z.________ et dit qu'ils sont compensés avec l'avance de frais versée; III. dit que Z.________ est la débitrice de L.________ de la somme de 1'000 fr. (mille francs) à titre de dépens. III. Les frais judiciaires de deuxième instance, arrêtés à 500 fr. (cinq cents francs), sont mis à la charge de l'intimée. IV. L'intimée Z.________ doit verser à la recourante L.________ la somme de 1'700 fr. (mille sept cents francs), à titre de dépens et de restitution d'avance de frais de deuxième instance. V. L'arrêt motivé est exécutoire. Le président :               La greffière : Du 24 janvier 2013 Le dispositif de l'arrêt qui précède est communiqué par écrit aux intéressés. La greffière : Du L'arrêt qui précède, dont la rédaction a été approuvée à huis clos, est notifié en expédition complète, par l'envoi de photocopies, à : ‑ Me Sandrine Osojnak (pour L.________) ‑ Me Stephan Kronbichler (pour Z.________) La Chambre des recours civile considère que la valeur litigieuse est de 20'891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