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93 vom 18. Januar 2013</w:t>
      </w:r>
    </w:p>
    <w:p>
      <w:r>
        <w:t>VD Tribunal cantonal, 2013-01-18, FR</w:t>
      </w:r>
    </w:p>
    <w:p>
      <w:r>
        <w:rPr>
          <w:b/>
        </w:rPr>
        <w:t xml:space="preserve">Quelle: </w:t>
      </w:r>
      <w:r>
        <w:t>https://mcp.opencaselaw.ch/entscheid/vd_findinfo_HC___2013___93</w:t>
      </w:r>
    </w:p>
    <w:p>
      <w:r>
        <w:t>FR: VD_FINDINFO HC / 2013 / 93 du 18 janvier 2013</w:t>
      </w:r>
    </w:p>
    <w:p>
      <w:r>
        <w:t>IT: VD_FINDINFO HC / 2013 / 93 del 18 gennaio 2013</w:t>
      </w:r>
    </w:p>
    <w:p>
      <w:pPr>
        <w:pStyle w:val="Heading2"/>
      </w:pPr>
      <w:r>
        <w:t>Regeste</w:t>
      </w:r>
    </w:p>
    <w:p>
      <w:r>
        <w:t>AVANCE DE FRAIS, CONJOINT, ASSISTANCE JUDICIAIRE, DÉNUEMENT, FORTUNE | 159 al. 3 CC, 163 CC, 117 CPC (CH)</w:t>
      </w:r>
    </w:p>
    <w:p>
      <w:pPr>
        <w:pStyle w:val="Heading2"/>
      </w:pPr>
      <w:r>
        <w:t>Erwägungen</w:t>
      </w:r>
    </w:p>
    <w:p>
      <w:r>
        <w:rPr>
          <w:b/>
        </w:rPr>
        <w:t>E. 1</w:t>
      </w:r>
    </w:p>
    <w:p>
      <w:r>
        <w:t>L'art. 121 CPC ouvre la voie du recours des art. 319 ss CPC contre les décisions refusant ou retirant partiellement ou totalement l'assistance judiciaire. La procédure sommaire étant applicable (art. 119 al. 3 CPC), le délai de recours est de dix jours a compter de la notification de la décision motivée (art. 321 al. 1 et 2 CPC). Le recours doit être écrit et motivé (art. 321 al. 1 CPC) Interjeté en temps utile par une personne qui y a intérêt, le recours motivé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op. cit.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En l'espèce, les pièces produites par le recourant en deuxième instance sont irrecevables dans la mesure où elles ne figurent pas déjà au dossier de première instance. Le recourant soutient qu'il a établi les frais de garderie, par 446 fr. 50 à l'attention de l"[...]", paiements qui ressortent des décomptes bancaires produits en première instance. Toutefois, dans sa demande du 29 octobre 2012, le recourant mentionnait le montant de 417 fr. pour ce poste. Le premier juge était donc fondé à considérer que ce chiffre n'était pas établi. Pour le surplus, comme on le verra, l'admission de ce poste ne permet pas une modification de la décision attaquée.</w:t>
      </w:r>
    </w:p>
    <w:p>
      <w:r>
        <w:rPr>
          <w:b/>
        </w:rPr>
        <w:t>E. 3</w:t>
      </w:r>
    </w:p>
    <w:p>
      <w:r>
        <w:t>a) Le recourant fait valoir qu'il n'a jamais eu accès aux comptes de son épouse et que sa seule fortune est sa part de la maison familiale. Il expose que son droit de visite sur les enfants s'exerce pendant trois jours par semaine et un week-end sur deux. Il soutient que ses frais de subsistance dépassent ses ressources et que les conclusions de son épouse visant à le priver de tout droit de visite nécessitent l'assistance d'un mandataire professionnel. b) D’après la jurisprudence, une provisio ad litem est due à l’époux qui ne dispose pas lui-même des moyens suffisants pour assumer les frais du procès matrimonial.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La Pratique du droit de la Famille [FamPra.ch] 2006 p. 892 n° 130 et les références citées; Bräm, Zürcher Kommentar, 1998, n. 131 ad art. 159 CC, pp. 52-53 et références),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(Deschenaux/Steinauer/Baddeley, Les effets du mariage, 2000, p. 221 n. 38 et les références citées; TF 5P_4212006 du 10 juillet 2007 c. 4). Le Tribunal fédéral a précisé que le devoir d'assistance du conjoint par le versement d'une provisio ad litem l'emporte sur celui d'assistance judiciaire de l'Etat (ATF 119 Ia 11 c. 3; TF 5A_783/2010 du 8 avril 2011 c. 8), ce dernier devoir étant subsidiaire. L'assistance judiciaire n'est ainsi pas octroyée à la partie qui est en mesure d'avancer les frais de procès grâce à la contribution d'entretien que lui doit son conjoint (TF 5A_687/2011 du 17 avril 2012 c. 9 et référence). c) En l'espèce, le recourant ne conteste pas que son couple était au 31 décembre 2010 bénéficiaire d'une fortune mobilière de 82'290 fr., et d'une fortune immobilière estimée fiscalement à 1'385'000 francs. En outre l'épouse du recourant réalise un salaire de 8'547 fr. par mois et bénéficie d'un disponible de 2'232 francs. Vu le caractère subsidiaire de l'obligation d'assistance de l'Etat par rapport au devoir d'entretien entre époux, il appartient au recourant de demander en premier lieu à son épouse, si celle-ci ne lui laisse pas accès à la fortune commune, de lui verser les sommes nécessaires à sa défense par une conclusion en versement d'une provisio ad litem. Au surplus, du point de vue de l'assistance judiciaire, la jurisprudence citée par le premier juge pose le principe que seules des économies se situant dans une fourchette de 10'000 à 20'000 fr. peuvent être considérée comme intangibles (TF 5P_375/2006 du 18 décembre 2006). Or la fortune des époux dépasse largement cette limite et on peut attendre d'eux qu'ils financent eux-mêmes la procédure de mesures protectrices de l'union conjugale qui les divise. C'est d'ailleurs ainsi que l'a compris le conseil du recourant, puisque, dans l'écriture du 30 novembre 2012, celui-ci a conclu principalement à l'allocation d'une provisio ad litem de 5'000 fr. et seulement subsidiairement à l'octroi de l'assistance judiciaire. Le recours doit en conséquence être rejeté.</w:t>
      </w:r>
    </w:p>
    <w:p>
      <w:r>
        <w:rPr>
          <w:b/>
        </w:rPr>
        <w:t>E. 4</w:t>
      </w:r>
    </w:p>
    <w:p>
      <w:r>
        <w:t>En conclusion, le recours doit être rejeté en application de l'art. 322 al. 1 CPC, et le prononcé confirmé. Vu le rejet du recours, les frais judiciaires de deuxième instance, arrêtés à 100 fr. (art. 69 et 70 al. 3 TFJC [tarif du 28 septembre 2010 des frais judiciaires civils; RSV 270.11.5), sont mis à la charge du recourant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A.H.________. IV. L'arrêt motivé est exécutoire. Le président :               Le greffier : Du 21 janvier 2013 Le dispositif de l'arrêt qui précède est communiqué par écrit aux intéressés. Le greffier : Du L'arrêt qui précède, dont la rédaction a été approuvée à huis clos, est notifié en expédition complète, par l'envoi de photocopies, à : ‑ M.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